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bCs/>
          <w:sz w:val="36"/>
        </w:rPr>
      </w:pPr>
    </w:p>
    <w:p>
      <w:pPr>
        <w:jc w:val="center"/>
        <w:rPr>
          <w:rFonts w:eastAsia="方正小标宋_GBK"/>
          <w:bCs/>
          <w:sz w:val="36"/>
        </w:rPr>
      </w:pPr>
    </w:p>
    <w:p>
      <w:pPr>
        <w:jc w:val="center"/>
        <w:outlineLvl w:val="0"/>
        <w:rPr>
          <w:rFonts w:eastAsia="方正小标宋简体"/>
          <w:sz w:val="40"/>
          <w:szCs w:val="22"/>
        </w:rPr>
      </w:pPr>
      <w:r>
        <w:rPr>
          <w:rFonts w:eastAsia="方正小标宋简体"/>
          <w:sz w:val="40"/>
          <w:szCs w:val="22"/>
        </w:rPr>
        <w:t>甘肃省公路施工企业信用评价实施细则</w:t>
      </w:r>
    </w:p>
    <w:p>
      <w:pPr>
        <w:jc w:val="center"/>
        <w:rPr>
          <w:rFonts w:eastAsia="楷体_GB2312"/>
          <w:sz w:val="36"/>
        </w:rPr>
      </w:pPr>
      <w:r>
        <w:rPr>
          <w:rFonts w:eastAsia="楷体_GB2312"/>
          <w:sz w:val="36"/>
        </w:rPr>
        <w:t>（</w:t>
      </w:r>
      <w:r>
        <w:rPr>
          <w:rFonts w:hint="eastAsia" w:eastAsia="楷体_GB2312"/>
          <w:sz w:val="36"/>
          <w:lang w:val="en-US" w:eastAsia="zh-CN"/>
        </w:rPr>
        <w:t>征求意见稿</w:t>
      </w:r>
      <w:r>
        <w:rPr>
          <w:rFonts w:eastAsia="楷体_GB2312"/>
          <w:sz w:val="36"/>
        </w:rPr>
        <w:t>）</w:t>
      </w:r>
    </w:p>
    <w:p>
      <w:pPr>
        <w:jc w:val="center"/>
        <w:rPr>
          <w:rFonts w:eastAsia="楷体_GB2312"/>
          <w:sz w:val="36"/>
        </w:rPr>
      </w:pPr>
      <w:bookmarkStart w:id="21" w:name="_GoBack"/>
      <w:bookmarkEnd w:id="21"/>
    </w:p>
    <w:p>
      <w:pPr>
        <w:autoSpaceDE w:val="0"/>
        <w:autoSpaceDN w:val="0"/>
        <w:spacing w:before="240" w:after="240" w:line="360" w:lineRule="auto"/>
        <w:jc w:val="center"/>
        <w:outlineLvl w:val="0"/>
        <w:rPr>
          <w:rFonts w:eastAsia="黑体"/>
          <w:color w:val="101010"/>
          <w:sz w:val="32"/>
          <w:szCs w:val="32"/>
        </w:rPr>
      </w:pPr>
      <w:r>
        <w:rPr>
          <w:rFonts w:eastAsia="黑体"/>
          <w:color w:val="101010"/>
          <w:sz w:val="32"/>
          <w:szCs w:val="32"/>
        </w:rPr>
        <w:t>第一章 总则</w:t>
      </w:r>
    </w:p>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【目的依据】</w:t>
      </w:r>
      <w:r>
        <w:rPr>
          <w:rFonts w:eastAsia="仿宋_GB2312"/>
          <w:sz w:val="32"/>
        </w:rPr>
        <w:t>为规范</w:t>
      </w:r>
      <w:r>
        <w:rPr>
          <w:rFonts w:hint="eastAsia" w:eastAsia="仿宋_GB2312"/>
          <w:sz w:val="32"/>
        </w:rPr>
        <w:t>本省</w:t>
      </w:r>
      <w:r>
        <w:rPr>
          <w:rFonts w:eastAsia="仿宋_GB2312"/>
          <w:sz w:val="32"/>
        </w:rPr>
        <w:t>公路施工企业信用评价工作，贯彻</w:t>
      </w:r>
      <w:r>
        <w:rPr>
          <w:rFonts w:hint="eastAsia" w:eastAsia="仿宋_GB2312"/>
          <w:sz w:val="32"/>
        </w:rPr>
        <w:t>实施</w:t>
      </w:r>
      <w:r>
        <w:rPr>
          <w:rFonts w:eastAsia="仿宋_GB2312"/>
          <w:sz w:val="32"/>
        </w:rPr>
        <w:t>交通运输部《公路施工企业信用评价规则》并对其补充和细化，根据交通运输部《公路建设市场管理办法》《公路建设市场信用信息管理办法》及</w:t>
      </w:r>
      <w:r>
        <w:rPr>
          <w:rFonts w:hint="eastAsia" w:eastAsia="仿宋_GB2312"/>
          <w:sz w:val="32"/>
        </w:rPr>
        <w:t>《甘肃省公路建设工程质量安全监督管理条例》</w:t>
      </w:r>
      <w:r>
        <w:rPr>
          <w:rFonts w:eastAsia="仿宋_GB2312"/>
          <w:sz w:val="32"/>
        </w:rPr>
        <w:t>《甘肃省公路建设市场信用信息管理办法》等有关规定，结合本省实际，制定本细则。</w:t>
      </w:r>
    </w:p>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【适用范围】</w:t>
      </w:r>
      <w:r>
        <w:rPr>
          <w:rFonts w:eastAsia="仿宋_GB2312"/>
          <w:sz w:val="32"/>
        </w:rPr>
        <w:t>本细则适用于本省行政区域内公路工程建设项目施工企业的信用评价管理活动。</w:t>
      </w:r>
    </w:p>
    <w:p>
      <w:pPr>
        <w:autoSpaceDE w:val="0"/>
        <w:autoSpaceDN w:val="0"/>
        <w:spacing w:line="360" w:lineRule="auto"/>
        <w:ind w:firstLine="640" w:firstLineChars="200"/>
        <w:rPr>
          <w:rFonts w:eastAsia="仿宋_GB2312"/>
          <w:sz w:val="32"/>
          <w:szCs w:val="32"/>
        </w:rPr>
      </w:pPr>
      <w:r>
        <w:rPr>
          <w:rFonts w:eastAsia="仿宋_GB2312"/>
          <w:sz w:val="32"/>
          <w:szCs w:val="32"/>
        </w:rPr>
        <w:t>本细则所称公路工程包括</w:t>
      </w:r>
      <w:bookmarkStart w:id="0" w:name="_Hlk57381266"/>
      <w:r>
        <w:rPr>
          <w:rFonts w:eastAsia="仿宋_GB2312"/>
          <w:sz w:val="32"/>
          <w:szCs w:val="32"/>
        </w:rPr>
        <w:t>高速公路、一级公路、普通国省道、独立桥梁、独立隧道</w:t>
      </w:r>
      <w:bookmarkEnd w:id="0"/>
      <w:r>
        <w:rPr>
          <w:rFonts w:eastAsia="仿宋_GB2312"/>
          <w:sz w:val="32"/>
          <w:szCs w:val="32"/>
        </w:rPr>
        <w:t>等新建、改建、扩建项目。农村公路等其他公路工程和等级客运站场的施工企业信用评价，可以参照本细则执行。</w:t>
      </w:r>
    </w:p>
    <w:p>
      <w:pPr>
        <w:pStyle w:val="27"/>
        <w:numPr>
          <w:ilvl w:val="0"/>
          <w:numId w:val="1"/>
        </w:numPr>
        <w:autoSpaceDE w:val="0"/>
        <w:autoSpaceDN w:val="0"/>
        <w:spacing w:line="360" w:lineRule="auto"/>
        <w:ind w:left="0" w:firstLine="640"/>
        <w:outlineLvl w:val="1"/>
        <w:rPr>
          <w:rFonts w:eastAsia="仿宋_GB2312"/>
          <w:sz w:val="32"/>
        </w:rPr>
      </w:pPr>
      <w:bookmarkStart w:id="1" w:name="_Hlk14187629"/>
      <w:r>
        <w:rPr>
          <w:rFonts w:eastAsia="楷体_GB2312"/>
          <w:sz w:val="32"/>
        </w:rPr>
        <w:t>【术语界定】</w:t>
      </w:r>
      <w:bookmarkEnd w:id="1"/>
      <w:r>
        <w:rPr>
          <w:rFonts w:eastAsia="仿宋_GB2312"/>
          <w:sz w:val="32"/>
        </w:rPr>
        <w:t>本细则所称公路施工企业信用评价是指交通运输主管部门或其委托机构依据有关法律法规、</w:t>
      </w:r>
      <w:r>
        <w:rPr>
          <w:rFonts w:eastAsia="仿宋_GB2312"/>
          <w:sz w:val="32"/>
          <w:szCs w:val="32"/>
        </w:rPr>
        <w:t>政策制度、</w:t>
      </w:r>
      <w:r>
        <w:rPr>
          <w:rFonts w:eastAsia="仿宋_GB2312"/>
          <w:sz w:val="32"/>
        </w:rPr>
        <w:t>标准规范、合同文件等，通过量化方式对具有公路施工资质的企业在公路建设市场从业行为的评价。</w:t>
      </w:r>
    </w:p>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【基本原则和</w:t>
      </w:r>
      <w:r>
        <w:rPr>
          <w:rFonts w:eastAsia="楷体_GB2312"/>
          <w:sz w:val="32"/>
          <w:szCs w:val="32"/>
        </w:rPr>
        <w:t>管理原则</w:t>
      </w:r>
      <w:r>
        <w:rPr>
          <w:rFonts w:eastAsia="楷体_GB2312"/>
          <w:sz w:val="32"/>
        </w:rPr>
        <w:t>】</w:t>
      </w:r>
      <w:r>
        <w:rPr>
          <w:rFonts w:eastAsia="仿宋_GB2312"/>
          <w:sz w:val="32"/>
        </w:rPr>
        <w:t>公路施工企业信用评价应当遵循客观、公平、公正、公开的原则，信用信息更新及时、真实完整，信用评价全面客观，评价结果实行公示公告制度。</w:t>
      </w:r>
    </w:p>
    <w:p>
      <w:pPr>
        <w:autoSpaceDE w:val="0"/>
        <w:autoSpaceDN w:val="0"/>
        <w:spacing w:line="360" w:lineRule="auto"/>
        <w:ind w:firstLine="640" w:firstLineChars="200"/>
        <w:rPr>
          <w:rFonts w:eastAsia="仿宋_GB2312"/>
          <w:sz w:val="32"/>
          <w:szCs w:val="32"/>
        </w:rPr>
      </w:pPr>
      <w:r>
        <w:rPr>
          <w:rFonts w:eastAsia="仿宋_GB2312"/>
          <w:sz w:val="32"/>
          <w:szCs w:val="32"/>
        </w:rPr>
        <w:t>信用评价管理工作实行统一管理、分级负责。</w:t>
      </w:r>
    </w:p>
    <w:p>
      <w:pPr>
        <w:pStyle w:val="27"/>
        <w:numPr>
          <w:ilvl w:val="0"/>
          <w:numId w:val="1"/>
        </w:numPr>
        <w:overflowPunct w:val="0"/>
        <w:autoSpaceDE w:val="0"/>
        <w:autoSpaceDN w:val="0"/>
        <w:spacing w:line="620" w:lineRule="exact"/>
        <w:ind w:left="0" w:firstLine="640"/>
        <w:outlineLvl w:val="1"/>
        <w:rPr>
          <w:rFonts w:eastAsia="仿宋_GB2312"/>
          <w:sz w:val="32"/>
          <w:szCs w:val="32"/>
        </w:rPr>
      </w:pPr>
      <w:r>
        <w:rPr>
          <w:rFonts w:eastAsia="楷体_GB2312"/>
          <w:sz w:val="32"/>
          <w:szCs w:val="32"/>
        </w:rPr>
        <w:t>【省</w:t>
      </w:r>
      <w:r>
        <w:rPr>
          <w:rFonts w:hint="eastAsia" w:eastAsia="楷体_GB2312"/>
          <w:sz w:val="32"/>
          <w:szCs w:val="32"/>
        </w:rPr>
        <w:t>厅</w:t>
      </w:r>
      <w:r>
        <w:rPr>
          <w:rFonts w:eastAsia="楷体_GB2312"/>
          <w:sz w:val="32"/>
          <w:szCs w:val="32"/>
        </w:rPr>
        <w:t>管理职责】</w:t>
      </w:r>
      <w:r>
        <w:rPr>
          <w:rFonts w:eastAsia="仿宋_GB2312"/>
          <w:sz w:val="32"/>
          <w:szCs w:val="32"/>
        </w:rPr>
        <w:t>省交通运输厅负责本省行政区域内公路建设市场信用信息与信用评价的管理工作，并委托</w:t>
      </w:r>
      <w:r>
        <w:rPr>
          <w:rFonts w:hint="eastAsia" w:eastAsia="仿宋_GB2312"/>
          <w:sz w:val="32"/>
          <w:szCs w:val="32"/>
        </w:rPr>
        <w:t>其</w:t>
      </w:r>
      <w:r>
        <w:rPr>
          <w:rFonts w:eastAsia="仿宋_GB2312"/>
          <w:sz w:val="32"/>
          <w:szCs w:val="32"/>
        </w:rPr>
        <w:t>质量监督机构（以下称“委托机构”）承担技术支持保障等具体工作。主要职责是：</w:t>
      </w:r>
    </w:p>
    <w:p>
      <w:pPr>
        <w:pStyle w:val="27"/>
        <w:overflowPunct w:val="0"/>
        <w:spacing w:line="620" w:lineRule="exact"/>
        <w:ind w:firstLine="640"/>
        <w:rPr>
          <w:rFonts w:eastAsia="仿宋_GB2312"/>
          <w:sz w:val="32"/>
          <w:szCs w:val="32"/>
        </w:rPr>
      </w:pPr>
      <w:r>
        <w:rPr>
          <w:rFonts w:eastAsia="仿宋_GB2312"/>
          <w:sz w:val="32"/>
          <w:szCs w:val="32"/>
        </w:rPr>
        <w:t>（一）结合本省实际情况，组织制定公路建设市场信用信息与信用评价管理的实施细则和管理制度，并组织实施；</w:t>
      </w:r>
    </w:p>
    <w:p>
      <w:pPr>
        <w:pStyle w:val="27"/>
        <w:overflowPunct w:val="0"/>
        <w:spacing w:line="620" w:lineRule="exact"/>
        <w:ind w:firstLine="640"/>
        <w:rPr>
          <w:rFonts w:eastAsia="仿宋_GB2312"/>
          <w:sz w:val="32"/>
          <w:szCs w:val="32"/>
        </w:rPr>
      </w:pPr>
      <w:r>
        <w:rPr>
          <w:rFonts w:eastAsia="仿宋_GB2312"/>
          <w:sz w:val="32"/>
          <w:szCs w:val="32"/>
        </w:rPr>
        <w:t>（二）建立和完善省级公路建设市场信用信息管理系统，并按交通运输部公布的接口标准与全国公路建设市场信用信息管理系统对接，实现互联互通、共享应用；</w:t>
      </w:r>
    </w:p>
    <w:p>
      <w:pPr>
        <w:pStyle w:val="27"/>
        <w:overflowPunct w:val="0"/>
        <w:spacing w:line="620" w:lineRule="exact"/>
        <w:ind w:firstLine="640"/>
        <w:rPr>
          <w:rFonts w:eastAsia="仿宋_GB2312"/>
          <w:sz w:val="32"/>
          <w:szCs w:val="32"/>
        </w:rPr>
      </w:pPr>
      <w:r>
        <w:rPr>
          <w:rFonts w:eastAsia="仿宋_GB2312"/>
          <w:sz w:val="32"/>
          <w:szCs w:val="32"/>
        </w:rPr>
        <w:t>（三）对在本省公路建设市场从业的从业单位和从业人员进行省级信用评价；</w:t>
      </w:r>
    </w:p>
    <w:p>
      <w:pPr>
        <w:pStyle w:val="27"/>
        <w:overflowPunct w:val="0"/>
        <w:spacing w:line="620" w:lineRule="exact"/>
        <w:ind w:firstLine="640"/>
        <w:rPr>
          <w:rFonts w:eastAsia="仿宋_GB2312"/>
          <w:sz w:val="32"/>
          <w:szCs w:val="32"/>
        </w:rPr>
      </w:pPr>
      <w:r>
        <w:rPr>
          <w:rFonts w:eastAsia="仿宋_GB2312"/>
          <w:sz w:val="32"/>
          <w:szCs w:val="32"/>
        </w:rPr>
        <w:t>（四）负责对国家高速、普通国道、省级高速、省道一级及省级交通运输主管部门批复的独立桥梁、独立隧道等公路工程建设项目的从业单位和从业人员进行信用评价；</w:t>
      </w:r>
    </w:p>
    <w:p>
      <w:pPr>
        <w:pStyle w:val="27"/>
        <w:overflowPunct w:val="0"/>
        <w:spacing w:line="620" w:lineRule="exact"/>
        <w:ind w:firstLine="640"/>
        <w:rPr>
          <w:rFonts w:eastAsia="仿宋_GB2312"/>
          <w:sz w:val="32"/>
          <w:szCs w:val="32"/>
        </w:rPr>
      </w:pPr>
      <w:r>
        <w:rPr>
          <w:rFonts w:eastAsia="仿宋_GB2312"/>
          <w:sz w:val="32"/>
          <w:szCs w:val="32"/>
        </w:rPr>
        <w:t>（五）指导本省行政区域内公路建设市场信用信息与信用评价相关部门、机构的管理工作。</w:t>
      </w:r>
    </w:p>
    <w:p>
      <w:pPr>
        <w:pStyle w:val="27"/>
        <w:numPr>
          <w:ilvl w:val="0"/>
          <w:numId w:val="1"/>
        </w:numPr>
        <w:overflowPunct w:val="0"/>
        <w:autoSpaceDE w:val="0"/>
        <w:autoSpaceDN w:val="0"/>
        <w:spacing w:line="620" w:lineRule="exact"/>
        <w:ind w:left="0" w:firstLine="640"/>
        <w:outlineLvl w:val="1"/>
        <w:rPr>
          <w:rFonts w:eastAsia="仿宋_GB2312"/>
          <w:sz w:val="32"/>
          <w:szCs w:val="32"/>
        </w:rPr>
      </w:pPr>
      <w:bookmarkStart w:id="2" w:name="_Ref57993403"/>
      <w:r>
        <w:rPr>
          <w:rFonts w:eastAsia="楷体_GB2312"/>
          <w:sz w:val="32"/>
          <w:szCs w:val="32"/>
        </w:rPr>
        <w:t>【市州管理职责】</w:t>
      </w:r>
      <w:r>
        <w:rPr>
          <w:rFonts w:eastAsia="仿宋_GB2312"/>
          <w:sz w:val="32"/>
          <w:szCs w:val="32"/>
        </w:rPr>
        <w:t>市（州）政府交通运输主管部门负责本行政区域内公路施工企业信用评价管理工作。主要职责是：</w:t>
      </w:r>
      <w:bookmarkEnd w:id="2"/>
    </w:p>
    <w:p>
      <w:pPr>
        <w:pStyle w:val="27"/>
        <w:overflowPunct w:val="0"/>
        <w:spacing w:line="620" w:lineRule="exact"/>
        <w:ind w:firstLine="640"/>
        <w:rPr>
          <w:rFonts w:eastAsia="仿宋_GB2312"/>
          <w:sz w:val="32"/>
          <w:szCs w:val="32"/>
        </w:rPr>
      </w:pPr>
      <w:r>
        <w:rPr>
          <w:rFonts w:eastAsia="仿宋_GB2312"/>
          <w:sz w:val="32"/>
          <w:szCs w:val="32"/>
        </w:rPr>
        <w:t>（一）负责对本行政区域内省道二级及以下公路、市（州）政府交通运输主管部门批复的独立桥梁、独立隧道等公路工程建设项目从业单位和从业人员进行信用评价。</w:t>
      </w:r>
    </w:p>
    <w:p>
      <w:pPr>
        <w:pStyle w:val="27"/>
        <w:overflowPunct w:val="0"/>
        <w:spacing w:line="620" w:lineRule="exact"/>
        <w:ind w:firstLine="640"/>
        <w:rPr>
          <w:rFonts w:eastAsia="仿宋_GB2312"/>
          <w:sz w:val="32"/>
          <w:szCs w:val="32"/>
        </w:rPr>
      </w:pPr>
      <w:r>
        <w:rPr>
          <w:rFonts w:eastAsia="仿宋_GB2312"/>
          <w:sz w:val="32"/>
          <w:szCs w:val="32"/>
        </w:rPr>
        <w:t>（二）负责对本行政区域内省级高速公路、省道一级公路建设项目从业单位和从业人员，按其质量安全管理监管职责进行等相关评定内容的初步信用评价。</w:t>
      </w:r>
    </w:p>
    <w:p>
      <w:pPr>
        <w:pStyle w:val="27"/>
        <w:overflowPunct w:val="0"/>
        <w:spacing w:line="620" w:lineRule="exact"/>
        <w:ind w:firstLine="640"/>
        <w:rPr>
          <w:rFonts w:eastAsia="仿宋_GB2312"/>
          <w:sz w:val="32"/>
          <w:szCs w:val="32"/>
        </w:rPr>
      </w:pPr>
      <w:r>
        <w:rPr>
          <w:rFonts w:eastAsia="仿宋_GB2312"/>
          <w:sz w:val="32"/>
          <w:szCs w:val="32"/>
        </w:rPr>
        <w:t>（三）指导本行政区域内公路建设市场信用信息与信用评价相关部门、机构的管理工作。</w:t>
      </w:r>
    </w:p>
    <w:p>
      <w:pPr>
        <w:autoSpaceDE w:val="0"/>
        <w:autoSpaceDN w:val="0"/>
        <w:spacing w:before="240" w:after="240" w:line="360" w:lineRule="auto"/>
        <w:jc w:val="center"/>
        <w:outlineLvl w:val="0"/>
        <w:rPr>
          <w:rFonts w:eastAsia="黑体"/>
          <w:color w:val="101010"/>
          <w:sz w:val="32"/>
          <w:szCs w:val="32"/>
        </w:rPr>
      </w:pPr>
      <w:r>
        <w:rPr>
          <w:rFonts w:eastAsia="黑体"/>
          <w:color w:val="101010"/>
          <w:sz w:val="32"/>
          <w:szCs w:val="32"/>
        </w:rPr>
        <w:t xml:space="preserve">第二章  </w:t>
      </w:r>
      <w:r>
        <w:rPr>
          <w:rFonts w:hint="eastAsia" w:eastAsia="黑体"/>
          <w:color w:val="101010"/>
          <w:sz w:val="32"/>
          <w:szCs w:val="32"/>
        </w:rPr>
        <w:t>公路</w:t>
      </w:r>
      <w:r>
        <w:rPr>
          <w:rFonts w:eastAsia="黑体"/>
          <w:color w:val="101010"/>
          <w:sz w:val="32"/>
          <w:szCs w:val="32"/>
        </w:rPr>
        <w:t>施工企业信用评价</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【评价内容与标准】</w:t>
      </w:r>
      <w:r>
        <w:rPr>
          <w:rFonts w:hint="eastAsia" w:eastAsia="仿宋_GB2312"/>
          <w:sz w:val="32"/>
        </w:rPr>
        <w:t>公路</w:t>
      </w:r>
      <w:r>
        <w:rPr>
          <w:rFonts w:eastAsia="仿宋_GB2312"/>
          <w:sz w:val="32"/>
        </w:rPr>
        <w:t>施工企业信用评价内容包括投标行为、履职履约行为和其他行为。</w:t>
      </w:r>
    </w:p>
    <w:p>
      <w:pPr>
        <w:pStyle w:val="27"/>
        <w:overflowPunct w:val="0"/>
        <w:autoSpaceDE w:val="0"/>
        <w:autoSpaceDN w:val="0"/>
        <w:spacing w:line="620" w:lineRule="exact"/>
        <w:ind w:firstLine="640"/>
        <w:rPr>
          <w:rFonts w:eastAsia="仿宋_GB2312"/>
          <w:sz w:val="32"/>
          <w:szCs w:val="32"/>
        </w:rPr>
      </w:pPr>
      <w:r>
        <w:rPr>
          <w:rFonts w:hint="eastAsia" w:eastAsia="仿宋_GB2312"/>
          <w:sz w:val="32"/>
          <w:szCs w:val="32"/>
        </w:rPr>
        <w:t>公路</w:t>
      </w:r>
      <w:r>
        <w:rPr>
          <w:rFonts w:eastAsia="仿宋_GB2312"/>
          <w:sz w:val="32"/>
          <w:szCs w:val="32"/>
        </w:rPr>
        <w:t>施工企业投标行为和履职履约行为实行累计计分制，一个评价周期的初始分值分别为100分。若有其他行为的，计入信用评价总分。</w:t>
      </w:r>
    </w:p>
    <w:p>
      <w:pPr>
        <w:pStyle w:val="27"/>
        <w:overflowPunct w:val="0"/>
        <w:autoSpaceDE w:val="0"/>
        <w:autoSpaceDN w:val="0"/>
        <w:spacing w:line="620" w:lineRule="exact"/>
        <w:ind w:firstLine="640"/>
        <w:rPr>
          <w:rFonts w:eastAsia="仿宋_GB2312"/>
          <w:sz w:val="32"/>
          <w:szCs w:val="32"/>
        </w:rPr>
      </w:pPr>
      <w:r>
        <w:rPr>
          <w:rFonts w:eastAsia="仿宋_GB2312"/>
          <w:sz w:val="32"/>
          <w:szCs w:val="32"/>
        </w:rPr>
        <w:t>具体评价标准和计算公式见《甘肃省公路工程施工企业信用评价标准》（附件）。</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【评价等级】</w:t>
      </w:r>
      <w:bookmarkStart w:id="3" w:name="_Hlk38444780"/>
      <w:r>
        <w:rPr>
          <w:rFonts w:hint="eastAsia" w:eastAsia="仿宋_GB2312"/>
          <w:sz w:val="32"/>
          <w:szCs w:val="32"/>
        </w:rPr>
        <w:t>公路</w:t>
      </w:r>
      <w:r>
        <w:rPr>
          <w:rFonts w:eastAsia="仿宋_GB2312"/>
          <w:sz w:val="32"/>
          <w:szCs w:val="32"/>
        </w:rPr>
        <w:t>施工企业信用评价分为AA、A、B、C、D五个等级，各信用等级对应的评分X分别为：</w:t>
      </w:r>
    </w:p>
    <w:p>
      <w:pPr>
        <w:ind w:firstLine="640" w:firstLineChars="200"/>
        <w:rPr>
          <w:rFonts w:eastAsia="仿宋_GB2312"/>
          <w:sz w:val="32"/>
        </w:rPr>
      </w:pPr>
      <w:r>
        <w:rPr>
          <w:rFonts w:eastAsia="仿宋_GB2312"/>
          <w:sz w:val="32"/>
        </w:rPr>
        <w:t>AA级：95分</w:t>
      </w:r>
      <w:r>
        <w:rPr>
          <w:rFonts w:hint="eastAsia" w:ascii="仿宋_GB2312" w:eastAsia="仿宋_GB2312"/>
          <w:sz w:val="32"/>
        </w:rPr>
        <w:t>≤</w:t>
      </w:r>
      <w:r>
        <w:rPr>
          <w:rFonts w:eastAsia="仿宋_GB2312"/>
          <w:sz w:val="32"/>
        </w:rPr>
        <w:t xml:space="preserve">X，信用好； </w:t>
      </w:r>
    </w:p>
    <w:p>
      <w:pPr>
        <w:ind w:firstLine="640" w:firstLineChars="200"/>
        <w:rPr>
          <w:rFonts w:eastAsia="仿宋_GB2312"/>
          <w:sz w:val="32"/>
        </w:rPr>
      </w:pPr>
      <w:r>
        <w:rPr>
          <w:rFonts w:eastAsia="仿宋_GB2312"/>
          <w:sz w:val="32"/>
        </w:rPr>
        <w:t>A级：85分</w:t>
      </w:r>
      <w:r>
        <w:rPr>
          <w:rFonts w:hint="eastAsia" w:ascii="仿宋_GB2312" w:eastAsia="仿宋_GB2312"/>
          <w:sz w:val="32"/>
        </w:rPr>
        <w:t>≤</w:t>
      </w:r>
      <w:r>
        <w:rPr>
          <w:rFonts w:eastAsia="仿宋_GB2312"/>
          <w:sz w:val="32"/>
        </w:rPr>
        <w:t>X＜95分，信用较好；</w:t>
      </w:r>
    </w:p>
    <w:p>
      <w:pPr>
        <w:ind w:firstLine="640" w:firstLineChars="200"/>
        <w:rPr>
          <w:rFonts w:eastAsia="仿宋_GB2312"/>
          <w:sz w:val="32"/>
        </w:rPr>
      </w:pPr>
      <w:r>
        <w:rPr>
          <w:rFonts w:eastAsia="仿宋_GB2312"/>
          <w:sz w:val="32"/>
        </w:rPr>
        <w:t>B级：75分</w:t>
      </w:r>
      <w:r>
        <w:rPr>
          <w:rFonts w:hint="eastAsia" w:ascii="仿宋_GB2312" w:eastAsia="仿宋_GB2312"/>
          <w:sz w:val="32"/>
        </w:rPr>
        <w:t>≤</w:t>
      </w:r>
      <w:r>
        <w:rPr>
          <w:rFonts w:eastAsia="仿宋_GB2312"/>
          <w:sz w:val="32"/>
        </w:rPr>
        <w:t>X＜85分，信用一般；</w:t>
      </w:r>
    </w:p>
    <w:p>
      <w:pPr>
        <w:ind w:firstLine="640" w:firstLineChars="200"/>
        <w:rPr>
          <w:rFonts w:eastAsia="仿宋_GB2312"/>
          <w:sz w:val="32"/>
        </w:rPr>
      </w:pPr>
      <w:r>
        <w:rPr>
          <w:rFonts w:eastAsia="仿宋_GB2312"/>
          <w:sz w:val="32"/>
        </w:rPr>
        <w:t>C级：60分</w:t>
      </w:r>
      <w:r>
        <w:rPr>
          <w:rFonts w:hint="eastAsia" w:ascii="仿宋_GB2312" w:eastAsia="仿宋_GB2312"/>
          <w:sz w:val="32"/>
        </w:rPr>
        <w:t>≤</w:t>
      </w:r>
      <w:r>
        <w:rPr>
          <w:rFonts w:eastAsia="仿宋_GB2312"/>
          <w:sz w:val="32"/>
        </w:rPr>
        <w:t>X＜75分，信用较差；</w:t>
      </w:r>
    </w:p>
    <w:p>
      <w:pPr>
        <w:ind w:firstLine="640" w:firstLineChars="200"/>
        <w:rPr>
          <w:rFonts w:eastAsia="仿宋_GB2312"/>
          <w:sz w:val="32"/>
        </w:rPr>
      </w:pPr>
      <w:r>
        <w:rPr>
          <w:rFonts w:eastAsia="仿宋_GB2312"/>
          <w:sz w:val="32"/>
        </w:rPr>
        <w:t>D级：X＜60分，或存在严重失信行为，信用差。</w:t>
      </w:r>
      <w:bookmarkEnd w:id="3"/>
    </w:p>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【评价依据】</w:t>
      </w:r>
      <w:bookmarkStart w:id="4" w:name="_Hlk38446617"/>
      <w:r>
        <w:rPr>
          <w:rFonts w:hint="eastAsia" w:eastAsia="仿宋_GB2312"/>
          <w:sz w:val="32"/>
        </w:rPr>
        <w:t>公路</w:t>
      </w:r>
      <w:r>
        <w:rPr>
          <w:rFonts w:eastAsia="仿宋_GB2312"/>
          <w:sz w:val="32"/>
        </w:rPr>
        <w:t>施工企业信用评价的采信依据为：</w:t>
      </w:r>
    </w:p>
    <w:p>
      <w:pPr>
        <w:ind w:firstLine="640" w:firstLineChars="200"/>
        <w:rPr>
          <w:rFonts w:eastAsia="仿宋_GB2312"/>
          <w:sz w:val="32"/>
        </w:rPr>
      </w:pPr>
      <w:r>
        <w:rPr>
          <w:rFonts w:eastAsia="仿宋_GB2312"/>
          <w:sz w:val="32"/>
        </w:rPr>
        <w:t>（一）交通运输主管部门及其所属机构督查、检查结果或奖罚通报、决定；</w:t>
      </w:r>
    </w:p>
    <w:p>
      <w:pPr>
        <w:ind w:firstLine="640" w:firstLineChars="200"/>
        <w:rPr>
          <w:rFonts w:eastAsia="仿宋_GB2312"/>
          <w:sz w:val="32"/>
        </w:rPr>
      </w:pPr>
      <w:r>
        <w:rPr>
          <w:rFonts w:eastAsia="仿宋_GB2312"/>
          <w:sz w:val="32"/>
        </w:rPr>
        <w:t>（二）招标人、</w:t>
      </w:r>
      <w:r>
        <w:rPr>
          <w:rFonts w:hint="eastAsia" w:eastAsia="仿宋_GB2312"/>
          <w:sz w:val="32"/>
        </w:rPr>
        <w:t>建设单位（</w:t>
      </w:r>
      <w:r>
        <w:rPr>
          <w:rFonts w:eastAsia="仿宋_GB2312"/>
          <w:sz w:val="32"/>
        </w:rPr>
        <w:t>项目法人</w:t>
      </w:r>
      <w:r>
        <w:rPr>
          <w:rFonts w:hint="eastAsia" w:eastAsia="仿宋_GB2312"/>
          <w:sz w:val="32"/>
        </w:rPr>
        <w:t>）</w:t>
      </w:r>
      <w:r>
        <w:rPr>
          <w:rFonts w:eastAsia="仿宋_GB2312"/>
          <w:sz w:val="32"/>
        </w:rPr>
        <w:t>管理工作中的正式文件；</w:t>
      </w:r>
    </w:p>
    <w:p>
      <w:pPr>
        <w:ind w:firstLine="640" w:firstLineChars="200"/>
        <w:rPr>
          <w:rFonts w:eastAsia="仿宋_GB2312"/>
          <w:sz w:val="32"/>
        </w:rPr>
      </w:pPr>
      <w:r>
        <w:rPr>
          <w:rFonts w:eastAsia="仿宋_GB2312"/>
          <w:sz w:val="32"/>
        </w:rPr>
        <w:t>（三）举报、投诉或质量、安全事故调查处理结果；</w:t>
      </w:r>
    </w:p>
    <w:p>
      <w:pPr>
        <w:ind w:firstLine="640" w:firstLineChars="200"/>
        <w:rPr>
          <w:rFonts w:eastAsia="仿宋_GB2312"/>
          <w:sz w:val="32"/>
        </w:rPr>
      </w:pPr>
      <w:r>
        <w:rPr>
          <w:rFonts w:eastAsia="仿宋_GB2312"/>
          <w:sz w:val="32"/>
        </w:rPr>
        <w:t>（四）纪检监察、司法机关和审计部门的调查认定意见；</w:t>
      </w:r>
    </w:p>
    <w:p>
      <w:pPr>
        <w:ind w:firstLine="640" w:firstLineChars="200"/>
        <w:rPr>
          <w:rFonts w:eastAsia="仿宋_GB2312"/>
          <w:sz w:val="32"/>
        </w:rPr>
      </w:pPr>
      <w:r>
        <w:rPr>
          <w:rFonts w:eastAsia="仿宋_GB2312"/>
          <w:sz w:val="32"/>
        </w:rPr>
        <w:t xml:space="preserve">（五）其他可以认定失信行为的有关信息和资料。 </w:t>
      </w:r>
    </w:p>
    <w:bookmarkEnd w:id="4"/>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【评价方式】</w:t>
      </w:r>
      <w:bookmarkStart w:id="5" w:name="_Hlk38446854"/>
      <w:r>
        <w:rPr>
          <w:rFonts w:eastAsia="仿宋_GB2312"/>
          <w:sz w:val="32"/>
          <w:szCs w:val="32"/>
        </w:rPr>
        <w:t>对</w:t>
      </w:r>
      <w:r>
        <w:rPr>
          <w:rFonts w:hint="eastAsia" w:eastAsia="仿宋_GB2312"/>
          <w:sz w:val="32"/>
          <w:szCs w:val="32"/>
        </w:rPr>
        <w:t>公路</w:t>
      </w:r>
      <w:r>
        <w:rPr>
          <w:rFonts w:eastAsia="仿宋_GB2312"/>
          <w:sz w:val="32"/>
        </w:rPr>
        <w:t>施工企业的信用评价工作实行定期评价和动态评价相结合的方式，注重评价的过程管理：</w:t>
      </w:r>
    </w:p>
    <w:p>
      <w:pPr>
        <w:pStyle w:val="27"/>
        <w:ind w:firstLine="640"/>
        <w:rPr>
          <w:rFonts w:eastAsia="仿宋_GB2312"/>
          <w:sz w:val="32"/>
        </w:rPr>
      </w:pPr>
      <w:r>
        <w:rPr>
          <w:rFonts w:eastAsia="仿宋_GB2312"/>
          <w:sz w:val="32"/>
        </w:rPr>
        <w:t>（一）定期评价是各级交通运输主管部门对施工企业在上一年度（1月1日至12月31日）信用行为进行周期性评价，一般每年开展一次。</w:t>
      </w:r>
    </w:p>
    <w:p>
      <w:pPr>
        <w:pStyle w:val="27"/>
        <w:ind w:firstLine="640"/>
        <w:rPr>
          <w:rFonts w:eastAsia="仿宋_GB2312"/>
          <w:sz w:val="32"/>
        </w:rPr>
      </w:pPr>
      <w:r>
        <w:rPr>
          <w:rFonts w:eastAsia="仿宋_GB2312"/>
          <w:sz w:val="32"/>
        </w:rPr>
        <w:t>（二）动态评价是公路施工企业发生严重失信行为时，省交通运输厅直接确定公路施工企业信用等级为最低等级（D级）的信用评价工作。</w:t>
      </w:r>
    </w:p>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【定期评价程序】</w:t>
      </w:r>
      <w:r>
        <w:rPr>
          <w:rFonts w:eastAsia="仿宋_GB2312"/>
          <w:sz w:val="32"/>
          <w:szCs w:val="32"/>
        </w:rPr>
        <w:t>对</w:t>
      </w:r>
      <w:r>
        <w:rPr>
          <w:rFonts w:hint="eastAsia" w:eastAsia="仿宋_GB2312"/>
          <w:sz w:val="32"/>
          <w:szCs w:val="32"/>
        </w:rPr>
        <w:t>公路</w:t>
      </w:r>
      <w:r>
        <w:rPr>
          <w:rFonts w:eastAsia="仿宋_GB2312"/>
          <w:sz w:val="32"/>
          <w:szCs w:val="32"/>
        </w:rPr>
        <w:t>施工企业定期评价的程序为：</w:t>
      </w:r>
    </w:p>
    <w:p>
      <w:pPr>
        <w:ind w:firstLine="640" w:firstLineChars="200"/>
        <w:rPr>
          <w:rFonts w:eastAsia="仿宋_GB2312"/>
          <w:sz w:val="32"/>
        </w:rPr>
      </w:pPr>
      <w:r>
        <w:rPr>
          <w:rFonts w:eastAsia="仿宋_GB2312"/>
          <w:sz w:val="32"/>
        </w:rPr>
        <w:t>（一）投标行为评价。招标人完成每次招标工作后，对存在投标失信行为的公路施工企业进行投标行为评价，并计入信用管理台账；</w:t>
      </w:r>
    </w:p>
    <w:p>
      <w:pPr>
        <w:ind w:firstLine="640" w:firstLineChars="200"/>
        <w:rPr>
          <w:rFonts w:eastAsia="仿宋_GB2312"/>
          <w:sz w:val="32"/>
        </w:rPr>
      </w:pPr>
      <w:r>
        <w:rPr>
          <w:rFonts w:eastAsia="仿宋_GB2312"/>
          <w:sz w:val="32"/>
        </w:rPr>
        <w:t>（二）履职履约行为评价。结合日常建设管理情况，对施工企业当年度的履职履约行为进行评价，并计入信用管理台账；</w:t>
      </w:r>
    </w:p>
    <w:p>
      <w:pPr>
        <w:ind w:firstLine="640" w:firstLineChars="200"/>
        <w:rPr>
          <w:rFonts w:eastAsia="仿宋_GB2312"/>
          <w:sz w:val="32"/>
        </w:rPr>
      </w:pPr>
      <w:r>
        <w:rPr>
          <w:rFonts w:eastAsia="仿宋_GB2312"/>
          <w:sz w:val="32"/>
        </w:rPr>
        <w:t>（三）其他行为评价。负责公路建设项目监管的相应交通运输主管部门对施工企业其他行为进行评价，并计入信用管理台账；</w:t>
      </w:r>
    </w:p>
    <w:p>
      <w:pPr>
        <w:ind w:firstLine="640" w:firstLineChars="200"/>
        <w:rPr>
          <w:rFonts w:eastAsia="仿宋_GB2312"/>
          <w:sz w:val="32"/>
        </w:rPr>
      </w:pPr>
      <w:r>
        <w:rPr>
          <w:rFonts w:eastAsia="仿宋_GB2312"/>
          <w:sz w:val="32"/>
        </w:rPr>
        <w:t>（四）省级信用评价。省交通运输厅对本省行政区域内的施工企业信用行为进行评价，计算其省级信用评价得分，根据得分确定信用等级，经公示、公告后公布以上施工企业的信用评价结果。</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【分级评价】</w:t>
      </w:r>
      <w:r>
        <w:rPr>
          <w:rFonts w:eastAsia="仿宋_GB2312"/>
          <w:bCs/>
          <w:sz w:val="32"/>
          <w:szCs w:val="32"/>
        </w:rPr>
        <w:t>按</w:t>
      </w:r>
      <w:r>
        <w:rPr>
          <w:rFonts w:eastAsia="仿宋_GB2312"/>
          <w:sz w:val="32"/>
          <w:szCs w:val="32"/>
        </w:rPr>
        <w:t>照“谁</w:t>
      </w:r>
      <w:r>
        <w:rPr>
          <w:rFonts w:eastAsia="仿宋_GB2312"/>
          <w:bCs/>
          <w:sz w:val="32"/>
          <w:szCs w:val="32"/>
        </w:rPr>
        <w:t>发布</w:t>
      </w:r>
      <w:r>
        <w:rPr>
          <w:rFonts w:eastAsia="仿宋_GB2312"/>
          <w:sz w:val="32"/>
          <w:szCs w:val="32"/>
        </w:rPr>
        <w:t>、谁采集、谁评价”的原则，省交通运输厅负责采集省级及以上有关部门行政管理过程中形成的检查结果、处罚决定、奖惩通报等相关信息，市（州）政府交通运输主管部门负责采集本级政府有关部门监督检查结果并进行施工企业信用评分。</w:t>
      </w:r>
    </w:p>
    <w:p>
      <w:pPr>
        <w:ind w:firstLine="640" w:firstLineChars="200"/>
        <w:rPr>
          <w:rFonts w:eastAsia="仿宋_GB2312"/>
          <w:sz w:val="32"/>
          <w:szCs w:val="32"/>
        </w:rPr>
      </w:pPr>
      <w:r>
        <w:rPr>
          <w:rFonts w:eastAsia="仿宋_GB2312"/>
          <w:sz w:val="32"/>
          <w:szCs w:val="32"/>
        </w:rPr>
        <w:t>市（州）政府交通运输主管部门应当于1月10日前将本细则</w:t>
      </w:r>
      <w:r>
        <w:rPr>
          <w:rFonts w:eastAsia="仿宋_GB2312"/>
          <w:sz w:val="32"/>
          <w:szCs w:val="32"/>
        </w:rPr>
        <w:fldChar w:fldCharType="begin"/>
      </w:r>
      <w:r>
        <w:rPr>
          <w:rFonts w:eastAsia="仿宋_GB2312"/>
          <w:sz w:val="32"/>
          <w:szCs w:val="32"/>
        </w:rPr>
        <w:instrText xml:space="preserve"> REF _Ref57993403 \r \h  \* MERGEFORMAT </w:instrText>
      </w:r>
      <w:r>
        <w:rPr>
          <w:rFonts w:eastAsia="仿宋_GB2312"/>
          <w:sz w:val="32"/>
          <w:szCs w:val="32"/>
        </w:rPr>
        <w:fldChar w:fldCharType="separate"/>
      </w:r>
      <w:r>
        <w:rPr>
          <w:rFonts w:eastAsia="仿宋_GB2312"/>
          <w:sz w:val="32"/>
          <w:szCs w:val="32"/>
        </w:rPr>
        <w:t>第六条</w:t>
      </w:r>
      <w:r>
        <w:rPr>
          <w:rFonts w:eastAsia="仿宋_GB2312"/>
          <w:sz w:val="32"/>
          <w:szCs w:val="32"/>
        </w:rPr>
        <w:fldChar w:fldCharType="end"/>
      </w:r>
      <w:r>
        <w:rPr>
          <w:rFonts w:eastAsia="仿宋_GB2312"/>
          <w:sz w:val="32"/>
          <w:szCs w:val="32"/>
        </w:rPr>
        <w:t>（一）、（二）其职责范围内公路施工企业信用评价初评结果，报送省交通运输厅委托机构。</w:t>
      </w:r>
    </w:p>
    <w:bookmarkEnd w:id="5"/>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【定期信用评价结果调整】</w:t>
      </w:r>
      <w:bookmarkStart w:id="6" w:name="_Hlk38447000"/>
      <w:r>
        <w:rPr>
          <w:rFonts w:eastAsia="仿宋_GB2312"/>
          <w:sz w:val="32"/>
        </w:rPr>
        <w:t>施工企业存在上一年度未被发现的除严重失信行为以外的其他失信行为的，省交通运输厅依据评价标准进行补充扣分，计算得出施工企业上一年度新的省级信用得分，并据此确定信用等级，完成公示、公告后，公布调整后的施工企业省级信用得分和等级。</w:t>
      </w:r>
    </w:p>
    <w:p>
      <w:pPr>
        <w:pStyle w:val="27"/>
        <w:numPr>
          <w:ilvl w:val="0"/>
          <w:numId w:val="1"/>
        </w:numPr>
        <w:autoSpaceDE w:val="0"/>
        <w:autoSpaceDN w:val="0"/>
        <w:spacing w:line="360" w:lineRule="auto"/>
        <w:ind w:left="0" w:firstLine="640"/>
        <w:outlineLvl w:val="1"/>
        <w:rPr>
          <w:rFonts w:eastAsia="仿宋_GB2312"/>
          <w:sz w:val="32"/>
        </w:rPr>
      </w:pPr>
      <w:r>
        <w:rPr>
          <w:rFonts w:eastAsia="楷体_GB2312"/>
          <w:sz w:val="32"/>
        </w:rPr>
        <w:t>【动态评价情形】</w:t>
      </w:r>
      <w:r>
        <w:rPr>
          <w:rFonts w:eastAsia="仿宋_GB2312"/>
          <w:sz w:val="32"/>
          <w:szCs w:val="32"/>
        </w:rPr>
        <w:t>施工企业有下列情形之一的，属于严重失信行为，</w:t>
      </w:r>
      <w:r>
        <w:rPr>
          <w:rFonts w:eastAsia="仿宋_GB2312"/>
          <w:sz w:val="32"/>
        </w:rPr>
        <w:t>开展</w:t>
      </w:r>
      <w:r>
        <w:rPr>
          <w:rFonts w:eastAsia="仿宋_GB2312"/>
          <w:sz w:val="32"/>
          <w:szCs w:val="32"/>
        </w:rPr>
        <w:t>动态评价，直接认定为</w:t>
      </w:r>
      <w:r>
        <w:rPr>
          <w:rFonts w:eastAsia="仿宋_GB2312"/>
          <w:sz w:val="32"/>
        </w:rPr>
        <w:t>最低信用等级（D级）</w:t>
      </w:r>
      <w:r>
        <w:rPr>
          <w:rFonts w:eastAsia="仿宋_GB2312"/>
          <w:sz w:val="32"/>
          <w:szCs w:val="32"/>
        </w:rPr>
        <w:t>：</w:t>
      </w:r>
    </w:p>
    <w:p>
      <w:pPr>
        <w:ind w:firstLine="640" w:firstLineChars="200"/>
        <w:rPr>
          <w:rFonts w:eastAsia="仿宋_GB2312"/>
          <w:sz w:val="32"/>
          <w:szCs w:val="20"/>
        </w:rPr>
      </w:pPr>
      <w:r>
        <w:rPr>
          <w:rFonts w:eastAsia="仿宋_GB2312"/>
          <w:sz w:val="32"/>
          <w:szCs w:val="20"/>
        </w:rPr>
        <w:t>（一）违反有关法律法规，被有关行政主管部门撤销相关经营资格或吊销相关许可证件的；</w:t>
      </w:r>
    </w:p>
    <w:p>
      <w:pPr>
        <w:ind w:firstLine="640" w:firstLineChars="200"/>
        <w:rPr>
          <w:rFonts w:eastAsia="仿宋_GB2312"/>
          <w:sz w:val="32"/>
          <w:szCs w:val="20"/>
        </w:rPr>
      </w:pPr>
      <w:r>
        <w:rPr>
          <w:rFonts w:eastAsia="仿宋_GB2312"/>
          <w:sz w:val="32"/>
          <w:szCs w:val="20"/>
        </w:rPr>
        <w:t>（二）违反有关法律法规，被有关行政主管部门责令停止经营、停业整顿的；</w:t>
      </w:r>
    </w:p>
    <w:p>
      <w:pPr>
        <w:ind w:firstLine="640" w:firstLineChars="200"/>
        <w:rPr>
          <w:rFonts w:eastAsia="仿宋_GB2312"/>
          <w:sz w:val="32"/>
          <w:szCs w:val="20"/>
        </w:rPr>
      </w:pPr>
      <w:r>
        <w:rPr>
          <w:rFonts w:eastAsia="仿宋_GB2312"/>
          <w:sz w:val="32"/>
          <w:szCs w:val="20"/>
        </w:rPr>
        <w:t>（三）在申请交通运输有关行政许可、财政补贴等过程中提供虚假材料、谎报瞒报重要事项的；</w:t>
      </w:r>
    </w:p>
    <w:p>
      <w:pPr>
        <w:ind w:firstLine="640" w:firstLineChars="200"/>
        <w:rPr>
          <w:rFonts w:eastAsia="仿宋_GB2312"/>
          <w:sz w:val="32"/>
          <w:szCs w:val="20"/>
        </w:rPr>
      </w:pPr>
      <w:r>
        <w:rPr>
          <w:rFonts w:eastAsia="仿宋_GB2312"/>
          <w:sz w:val="32"/>
          <w:szCs w:val="20"/>
        </w:rPr>
        <w:t>（四）被省级及以上交通运输主管部门认定的其他严重失信行为；</w:t>
      </w:r>
    </w:p>
    <w:p>
      <w:pPr>
        <w:ind w:firstLine="640" w:firstLineChars="200"/>
        <w:rPr>
          <w:rFonts w:eastAsia="仿宋_GB2312"/>
          <w:sz w:val="32"/>
        </w:rPr>
      </w:pPr>
      <w:r>
        <w:rPr>
          <w:rFonts w:eastAsia="仿宋_GB2312"/>
          <w:sz w:val="32"/>
          <w:szCs w:val="20"/>
        </w:rPr>
        <w:t>（五）被国家相关部门认定造成重大社会影响的违法违规行为。</w:t>
      </w:r>
    </w:p>
    <w:p>
      <w:pPr>
        <w:ind w:firstLine="640" w:firstLineChars="200"/>
        <w:rPr>
          <w:rFonts w:eastAsia="仿宋_GB2312"/>
          <w:sz w:val="32"/>
        </w:rPr>
      </w:pPr>
      <w:r>
        <w:rPr>
          <w:rFonts w:eastAsia="仿宋_GB2312"/>
          <w:sz w:val="32"/>
        </w:rPr>
        <w:t>（六）《</w:t>
      </w:r>
      <w:r>
        <w:rPr>
          <w:rFonts w:eastAsia="仿宋_GB2312"/>
          <w:bCs/>
          <w:sz w:val="32"/>
        </w:rPr>
        <w:t>甘肃省公路施工企业信用评价标准》中</w:t>
      </w:r>
      <w:bookmarkStart w:id="7" w:name="_Hlk78320505"/>
      <w:r>
        <w:rPr>
          <w:rFonts w:eastAsia="仿宋_GB2312"/>
          <w:bCs/>
          <w:sz w:val="32"/>
        </w:rPr>
        <w:t>“直接定为D级”</w:t>
      </w:r>
      <w:bookmarkEnd w:id="7"/>
      <w:r>
        <w:rPr>
          <w:rFonts w:eastAsia="仿宋_GB2312"/>
          <w:bCs/>
          <w:sz w:val="32"/>
        </w:rPr>
        <w:t>的严重失信行为（见附件）</w:t>
      </w:r>
      <w:r>
        <w:rPr>
          <w:rFonts w:eastAsia="仿宋_GB2312"/>
          <w:sz w:val="32"/>
        </w:rPr>
        <w:t>。</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【动态评价期限】</w:t>
      </w:r>
      <w:r>
        <w:rPr>
          <w:rFonts w:eastAsia="仿宋_GB2312"/>
          <w:sz w:val="32"/>
          <w:szCs w:val="32"/>
        </w:rPr>
        <w:t>施工企业动态评价信用等级的认定：</w:t>
      </w:r>
      <w:r>
        <w:rPr>
          <w:rFonts w:eastAsia="仿宋_GB2312"/>
          <w:sz w:val="32"/>
        </w:rPr>
        <w:t>被交通运输主管部门动态评价为最低信用等级（D级）的施工企业，自认定之日起，其在本省一年内信用等级为D级。因受到行政处罚被直接认定为最低信用等级（D级）的施工企业，其评价为D级的时间不得少于该行政处罚期限和整改完成期限。</w:t>
      </w:r>
    </w:p>
    <w:bookmarkEnd w:id="6"/>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【分立合并后的信用等级】</w:t>
      </w:r>
      <w:r>
        <w:rPr>
          <w:rFonts w:eastAsia="仿宋_GB2312"/>
          <w:sz w:val="32"/>
          <w:szCs w:val="32"/>
        </w:rPr>
        <w:t>施工企业</w:t>
      </w:r>
      <w:r>
        <w:rPr>
          <w:rFonts w:eastAsia="仿宋_GB2312"/>
          <w:sz w:val="32"/>
        </w:rPr>
        <w:t>分立的，按照新设立单位确定信用等级，但不得高于原信用等级。施工企业合并的，按照信用等级较低单位的等级确定合并后单位的信用等级。</w:t>
      </w:r>
    </w:p>
    <w:p>
      <w:pPr>
        <w:ind w:firstLine="640" w:firstLineChars="200"/>
        <w:rPr>
          <w:rFonts w:eastAsia="仿宋_GB2312"/>
          <w:sz w:val="32"/>
          <w:szCs w:val="32"/>
        </w:rPr>
      </w:pPr>
      <w:r>
        <w:rPr>
          <w:rFonts w:eastAsia="仿宋_GB2312"/>
          <w:sz w:val="32"/>
          <w:szCs w:val="32"/>
        </w:rPr>
        <w:t>除特殊情况外，施工企业的基本情况在两次信用等级评定期间发生重大变化的，在下次评定时再做调整。</w:t>
      </w:r>
    </w:p>
    <w:p>
      <w:pPr>
        <w:ind w:firstLine="640" w:firstLineChars="200"/>
        <w:rPr>
          <w:rFonts w:hint="eastAsia" w:eastAsia="仿宋_GB2312"/>
          <w:sz w:val="32"/>
        </w:rPr>
      </w:pPr>
      <w:r>
        <w:rPr>
          <w:rFonts w:eastAsia="仿宋_GB2312"/>
          <w:sz w:val="32"/>
          <w:szCs w:val="32"/>
        </w:rPr>
        <w:t>联合体成员有失信行为的，</w:t>
      </w:r>
      <w:r>
        <w:rPr>
          <w:rFonts w:eastAsia="仿宋_GB2312"/>
          <w:sz w:val="32"/>
        </w:rPr>
        <w:t>联合体牵头人和该成员须按相应标准扣分。总包单位有失信行为的，分包单位不承担连带责任；分包单位有失信行为的，总包单位须按相应标准扣分。</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【结果应用</w:t>
      </w:r>
      <w:r>
        <w:rPr>
          <w:rFonts w:hint="eastAsia" w:eastAsia="楷体_GB2312"/>
          <w:sz w:val="32"/>
        </w:rPr>
        <w:t>和等级确定</w:t>
      </w:r>
      <w:r>
        <w:rPr>
          <w:rFonts w:eastAsia="楷体_GB2312"/>
          <w:sz w:val="32"/>
        </w:rPr>
        <w:t>】</w:t>
      </w:r>
      <w:r>
        <w:rPr>
          <w:rFonts w:eastAsia="仿宋_GB2312"/>
          <w:sz w:val="32"/>
          <w:szCs w:val="32"/>
        </w:rPr>
        <w:t>公路施工企业信用评价结果按以下规则应用：</w:t>
      </w:r>
    </w:p>
    <w:p>
      <w:pPr>
        <w:ind w:firstLine="640" w:firstLineChars="200"/>
        <w:rPr>
          <w:rFonts w:eastAsia="仿宋_GB2312"/>
          <w:sz w:val="32"/>
          <w:szCs w:val="32"/>
        </w:rPr>
      </w:pPr>
      <w:r>
        <w:rPr>
          <w:rFonts w:eastAsia="仿宋_GB2312"/>
          <w:sz w:val="32"/>
          <w:szCs w:val="32"/>
        </w:rPr>
        <w:t xml:space="preserve">（一）施工企业的全国综合信用评价结果应用于全国公路建设市场； </w:t>
      </w:r>
    </w:p>
    <w:p>
      <w:pPr>
        <w:ind w:firstLine="640" w:firstLineChars="200"/>
        <w:rPr>
          <w:rFonts w:eastAsia="仿宋_GB2312"/>
          <w:sz w:val="32"/>
          <w:szCs w:val="32"/>
        </w:rPr>
      </w:pPr>
      <w:r>
        <w:rPr>
          <w:rFonts w:eastAsia="仿宋_GB2312"/>
          <w:sz w:val="32"/>
          <w:szCs w:val="32"/>
        </w:rPr>
        <w:t xml:space="preserve">（二）施工企业尚无全国综合信用评价结果的，使用其从业地区省级信用评价结果； </w:t>
      </w:r>
    </w:p>
    <w:p>
      <w:pPr>
        <w:ind w:firstLine="640" w:firstLineChars="200"/>
        <w:rPr>
          <w:rFonts w:eastAsia="仿宋_GB2312"/>
          <w:sz w:val="32"/>
          <w:szCs w:val="32"/>
        </w:rPr>
      </w:pPr>
      <w:r>
        <w:rPr>
          <w:rFonts w:eastAsia="仿宋_GB2312"/>
          <w:sz w:val="32"/>
          <w:szCs w:val="32"/>
        </w:rPr>
        <w:t>（三）施工企业初次进入本省级行政区域时，尚无全国综合信用评价结果的，其信用等级参照注册地省级信用评价结果确定；</w:t>
      </w:r>
    </w:p>
    <w:p>
      <w:pPr>
        <w:ind w:firstLine="640" w:firstLineChars="200"/>
        <w:rPr>
          <w:rFonts w:eastAsia="仿宋_GB2312"/>
          <w:sz w:val="32"/>
          <w:szCs w:val="32"/>
        </w:rPr>
      </w:pPr>
      <w:r>
        <w:rPr>
          <w:rFonts w:eastAsia="仿宋_GB2312"/>
          <w:sz w:val="32"/>
          <w:szCs w:val="32"/>
        </w:rPr>
        <w:t>（四）施工企业尚无全国和省级评价结果的，若无失信记录应按A级对待；若有失信记录，视其严重程度按B级及以下对待；</w:t>
      </w:r>
    </w:p>
    <w:p>
      <w:pPr>
        <w:ind w:firstLine="640" w:firstLineChars="200"/>
        <w:rPr>
          <w:rFonts w:eastAsia="仿宋_GB2312"/>
          <w:sz w:val="32"/>
          <w:szCs w:val="32"/>
        </w:rPr>
      </w:pPr>
      <w:r>
        <w:rPr>
          <w:rFonts w:eastAsia="仿宋_GB2312"/>
          <w:sz w:val="32"/>
          <w:szCs w:val="32"/>
        </w:rPr>
        <w:t>（五）施工企业为联合体参与投标的，其信用等级按照联合体成员中最低信用等级方确定。</w:t>
      </w:r>
    </w:p>
    <w:p>
      <w:pPr>
        <w:ind w:firstLine="640" w:firstLineChars="200"/>
        <w:rPr>
          <w:rFonts w:eastAsia="仿宋_GB2312"/>
          <w:sz w:val="32"/>
          <w:szCs w:val="32"/>
        </w:rPr>
      </w:pPr>
      <w:r>
        <w:rPr>
          <w:rFonts w:eastAsia="仿宋_GB2312"/>
          <w:sz w:val="32"/>
          <w:szCs w:val="32"/>
        </w:rPr>
        <w:t>（六）施工企业有分包单位的，其信用等级按照总包单位和分包单位中最低信用等级方确定。</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【应用时限】</w:t>
      </w:r>
      <w:r>
        <w:rPr>
          <w:rFonts w:eastAsia="仿宋_GB2312"/>
          <w:sz w:val="32"/>
          <w:szCs w:val="32"/>
        </w:rPr>
        <w:t>施工企业信用评价结果有效期为一年，下一年度在本省无省级信用评价结果的，在本省信用等级可延续1年。延续1年后仍无信用评价结果的，按照初次进入本省对待，但不得高于其在本省原评价等级的上一等级。</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rPr>
        <w:t>【按标准评分】</w:t>
      </w:r>
      <w:r>
        <w:rPr>
          <w:rFonts w:eastAsia="仿宋_GB2312"/>
          <w:sz w:val="32"/>
          <w:szCs w:val="32"/>
        </w:rPr>
        <w:t>交通运输主管部门或其委托机构应当建立公路工程施工企业信用管理台账，及时、客观、公正地记录施工企业的信用信息，并按照《</w:t>
      </w:r>
      <w:r>
        <w:rPr>
          <w:rFonts w:eastAsia="仿宋_GB2312"/>
          <w:bCs/>
          <w:sz w:val="32"/>
          <w:szCs w:val="32"/>
        </w:rPr>
        <w:t>甘肃省公路施工企业信用评价标准》（见附件）</w:t>
      </w:r>
      <w:r>
        <w:rPr>
          <w:rFonts w:eastAsia="仿宋_GB2312"/>
          <w:sz w:val="32"/>
          <w:szCs w:val="32"/>
        </w:rPr>
        <w:t>进行评分。</w:t>
      </w:r>
    </w:p>
    <w:p>
      <w:pPr>
        <w:autoSpaceDE w:val="0"/>
        <w:autoSpaceDN w:val="0"/>
        <w:spacing w:before="240" w:after="240" w:line="360" w:lineRule="auto"/>
        <w:jc w:val="center"/>
        <w:outlineLvl w:val="0"/>
        <w:rPr>
          <w:rFonts w:eastAsia="黑体"/>
          <w:color w:val="101010"/>
          <w:sz w:val="32"/>
          <w:szCs w:val="32"/>
        </w:rPr>
      </w:pPr>
      <w:r>
        <w:rPr>
          <w:rFonts w:eastAsia="黑体"/>
          <w:color w:val="101010"/>
          <w:sz w:val="32"/>
          <w:szCs w:val="32"/>
        </w:rPr>
        <w:t>第</w:t>
      </w:r>
      <w:r>
        <w:rPr>
          <w:rFonts w:hint="eastAsia" w:eastAsia="黑体"/>
          <w:color w:val="101010"/>
          <w:sz w:val="32"/>
          <w:szCs w:val="32"/>
        </w:rPr>
        <w:t>三</w:t>
      </w:r>
      <w:r>
        <w:rPr>
          <w:rFonts w:eastAsia="黑体"/>
          <w:color w:val="101010"/>
          <w:sz w:val="32"/>
          <w:szCs w:val="32"/>
        </w:rPr>
        <w:t xml:space="preserve">章  </w:t>
      </w:r>
      <w:bookmarkStart w:id="8" w:name="_Hlk78321044"/>
      <w:r>
        <w:rPr>
          <w:rFonts w:eastAsia="黑体"/>
          <w:color w:val="101010"/>
          <w:sz w:val="32"/>
          <w:szCs w:val="32"/>
        </w:rPr>
        <w:t>签认、公示、公告及异议处理</w:t>
      </w:r>
      <w:bookmarkEnd w:id="8"/>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【签认、公示、公告处理】</w:t>
      </w:r>
      <w:r>
        <w:rPr>
          <w:rFonts w:eastAsia="仿宋_GB2312"/>
          <w:sz w:val="32"/>
          <w:szCs w:val="32"/>
        </w:rPr>
        <w:t>公路施工企业信用评价工作实行评价人、评价对象签认以及评价结果公示、公告制度。</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【公示公告】</w:t>
      </w:r>
      <w:bookmarkStart w:id="9" w:name="_Hlk38447301"/>
      <w:r>
        <w:rPr>
          <w:rFonts w:eastAsia="仿宋_GB2312"/>
          <w:sz w:val="32"/>
          <w:szCs w:val="32"/>
        </w:rPr>
        <w:t>省交通运输厅在省级建设市场信用信息管理系统公示信用评价结果，接受申诉、投诉和举报，公示时间应不少于10个工作日。</w:t>
      </w:r>
    </w:p>
    <w:bookmarkEnd w:id="9"/>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【异议制度】</w:t>
      </w:r>
      <w:r>
        <w:rPr>
          <w:rFonts w:eastAsia="仿宋_GB2312"/>
          <w:sz w:val="32"/>
          <w:szCs w:val="32"/>
        </w:rPr>
        <w:t>交通运输主管部门建立健全公路建设市场信用管理的</w:t>
      </w:r>
      <w:r>
        <w:rPr>
          <w:rFonts w:eastAsia="仿宋_GB2312"/>
          <w:sz w:val="32"/>
        </w:rPr>
        <w:t>申诉</w:t>
      </w:r>
      <w:r>
        <w:rPr>
          <w:rFonts w:eastAsia="仿宋_GB2312"/>
          <w:sz w:val="32"/>
          <w:szCs w:val="32"/>
        </w:rPr>
        <w:t>、投诉和举报等异议处理与复核工作机制，公开异议处理部门和联系方式。</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【异议申请】</w:t>
      </w:r>
      <w:r>
        <w:rPr>
          <w:rFonts w:eastAsia="仿宋_GB2312"/>
          <w:sz w:val="32"/>
          <w:szCs w:val="32"/>
        </w:rPr>
        <w:t>施工企业对信用评价结果存在异议的，应在公示期限内依法依规向公示部门提出申诉、投诉或者举报，并提交</w:t>
      </w:r>
      <w:r>
        <w:rPr>
          <w:rFonts w:eastAsia="仿宋_GB2312"/>
          <w:sz w:val="32"/>
        </w:rPr>
        <w:t>相关</w:t>
      </w:r>
      <w:r>
        <w:rPr>
          <w:rFonts w:eastAsia="仿宋_GB2312"/>
          <w:sz w:val="32"/>
          <w:szCs w:val="32"/>
        </w:rPr>
        <w:t>证明材料。</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【异议申请材料】</w:t>
      </w:r>
      <w:r>
        <w:rPr>
          <w:rFonts w:eastAsia="仿宋_GB2312"/>
          <w:sz w:val="32"/>
          <w:szCs w:val="32"/>
        </w:rPr>
        <w:t xml:space="preserve"> 申诉、投诉或举报人为法人的，相关材料须由其法定代表人或者授权代表签字并盖章；为其他组织或者个人的，相关材料须由其主要负责人或者本人签字，并附有效身份证明复印件。</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 xml:space="preserve">【异议处理】 </w:t>
      </w:r>
      <w:r>
        <w:rPr>
          <w:rFonts w:eastAsia="仿宋_GB2312"/>
          <w:sz w:val="32"/>
          <w:szCs w:val="32"/>
        </w:rPr>
        <w:t>交通运输主管部门收到</w:t>
      </w:r>
      <w:bookmarkStart w:id="10" w:name="_Hlk528772484"/>
      <w:r>
        <w:rPr>
          <w:rFonts w:eastAsia="仿宋_GB2312"/>
          <w:sz w:val="32"/>
          <w:szCs w:val="32"/>
        </w:rPr>
        <w:t>申诉、投诉或举报</w:t>
      </w:r>
      <w:bookmarkEnd w:id="10"/>
      <w:r>
        <w:rPr>
          <w:rFonts w:eastAsia="仿宋_GB2312"/>
          <w:sz w:val="32"/>
          <w:szCs w:val="32"/>
        </w:rPr>
        <w:t>材料后，应检查材料是否符合受理条件。对不符合受理条件的，交通运输主管部门应告知申诉人、投诉人或举报人进行完善。申诉人、投诉人或举报人拒绝完善或完善后仍不符合受理条件的，交通运输主管部门可不予受理。申诉、投诉或举报材料符合受理条件的，交通运输主管部门应当坚持公平、公正、高效原则，及时组织调查、核查，并将处理结果告知申诉人、投诉人或举报人。对匿名投诉或举报，交通运输主管部门不予受理。</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【最终结果公告】</w:t>
      </w:r>
      <w:r>
        <w:rPr>
          <w:rFonts w:eastAsia="仿宋_GB2312"/>
          <w:sz w:val="32"/>
          <w:szCs w:val="32"/>
        </w:rPr>
        <w:t>公示结果无异议或收到的申诉、投诉或者举报书面材料调查结束后，交通运输主管部门按照信用评价职责将最终信用评价结果分别予以公告。</w:t>
      </w:r>
    </w:p>
    <w:p>
      <w:pPr>
        <w:ind w:firstLine="640" w:firstLineChars="200"/>
        <w:rPr>
          <w:rFonts w:eastAsia="仿宋_GB2312"/>
          <w:sz w:val="32"/>
          <w:szCs w:val="32"/>
        </w:rPr>
      </w:pPr>
      <w:r>
        <w:rPr>
          <w:rFonts w:eastAsia="仿宋_GB2312"/>
          <w:sz w:val="32"/>
          <w:szCs w:val="32"/>
        </w:rPr>
        <w:t>施工企业信用评价结果自正式公告之日起5年内，向社会提供公开查询。</w:t>
      </w:r>
    </w:p>
    <w:p>
      <w:pPr>
        <w:autoSpaceDE w:val="0"/>
        <w:autoSpaceDN w:val="0"/>
        <w:spacing w:before="240" w:after="240" w:line="360" w:lineRule="auto"/>
        <w:jc w:val="center"/>
        <w:outlineLvl w:val="0"/>
        <w:rPr>
          <w:rFonts w:eastAsia="黑体"/>
          <w:color w:val="101010"/>
          <w:sz w:val="32"/>
          <w:szCs w:val="32"/>
        </w:rPr>
      </w:pPr>
      <w:r>
        <w:rPr>
          <w:rFonts w:eastAsia="黑体"/>
          <w:color w:val="101010"/>
          <w:sz w:val="32"/>
          <w:szCs w:val="32"/>
        </w:rPr>
        <w:t>第</w:t>
      </w:r>
      <w:r>
        <w:rPr>
          <w:rFonts w:hint="eastAsia" w:eastAsia="黑体"/>
          <w:color w:val="101010"/>
          <w:sz w:val="32"/>
          <w:szCs w:val="32"/>
        </w:rPr>
        <w:t>四</w:t>
      </w:r>
      <w:r>
        <w:rPr>
          <w:rFonts w:eastAsia="黑体"/>
          <w:color w:val="101010"/>
          <w:sz w:val="32"/>
          <w:szCs w:val="32"/>
        </w:rPr>
        <w:t>章  附则</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【监督检查】</w:t>
      </w:r>
      <w:r>
        <w:rPr>
          <w:rFonts w:eastAsia="仿宋_GB2312"/>
          <w:sz w:val="32"/>
          <w:szCs w:val="32"/>
        </w:rPr>
        <w:t>交通运输主管部门应当采用“双随机、一公开”方式加强对公路建设市场施工企业的监督检查。</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【法律处罚】</w:t>
      </w:r>
      <w:r>
        <w:rPr>
          <w:rFonts w:eastAsia="仿宋_GB2312"/>
          <w:sz w:val="32"/>
          <w:szCs w:val="32"/>
        </w:rPr>
        <w:t>对公路建设市场信用管理工作中，严重失职、滥用职权、</w:t>
      </w:r>
      <w:r>
        <w:rPr>
          <w:rFonts w:eastAsia="仿宋_GB2312"/>
          <w:sz w:val="32"/>
        </w:rPr>
        <w:t>弄虚作假</w:t>
      </w:r>
      <w:r>
        <w:rPr>
          <w:rFonts w:eastAsia="仿宋_GB2312"/>
          <w:sz w:val="32"/>
          <w:szCs w:val="32"/>
        </w:rPr>
        <w:t>、徇私舞弊的，应当依法追究主管部门及相关责任人责任，情节严重的，由司法机关追究相关刑事责任，法律、行政法规有规定的从其规定。</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【其他】</w:t>
      </w:r>
      <w:bookmarkStart w:id="11" w:name="_Hlk38442232"/>
      <w:r>
        <w:rPr>
          <w:rFonts w:eastAsia="仿宋_GB2312"/>
          <w:sz w:val="32"/>
          <w:szCs w:val="32"/>
        </w:rPr>
        <w:t>市州政府交通运输主管部门可以依据本细则制定本行政区域公路建设市场信用管理或施工企业等信用评价实施细则，并报省交通运输厅备案。</w:t>
      </w:r>
      <w:bookmarkEnd w:id="11"/>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【解释部门】</w:t>
      </w:r>
      <w:r>
        <w:rPr>
          <w:rFonts w:eastAsia="仿宋_GB2312"/>
          <w:sz w:val="32"/>
          <w:szCs w:val="32"/>
        </w:rPr>
        <w:t>本细则由省交通运输厅负责解释。</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【生效时限】</w:t>
      </w:r>
      <w:r>
        <w:rPr>
          <w:rFonts w:eastAsia="仿宋_GB2312"/>
          <w:sz w:val="32"/>
          <w:szCs w:val="32"/>
        </w:rPr>
        <w:t>本细则自 年 月 日起试行。</w:t>
      </w:r>
    </w:p>
    <w:p>
      <w:pPr>
        <w:pStyle w:val="27"/>
        <w:numPr>
          <w:ilvl w:val="0"/>
          <w:numId w:val="1"/>
        </w:numPr>
        <w:autoSpaceDE w:val="0"/>
        <w:autoSpaceDN w:val="0"/>
        <w:spacing w:line="360" w:lineRule="auto"/>
        <w:ind w:left="0" w:firstLine="640"/>
        <w:outlineLvl w:val="1"/>
        <w:rPr>
          <w:rFonts w:eastAsia="仿宋_GB2312"/>
          <w:sz w:val="32"/>
          <w:szCs w:val="32"/>
        </w:rPr>
      </w:pPr>
      <w:r>
        <w:rPr>
          <w:rFonts w:eastAsia="楷体_GB2312"/>
          <w:sz w:val="32"/>
          <w:szCs w:val="32"/>
        </w:rPr>
        <w:t>【废止声明】</w:t>
      </w:r>
      <w:r>
        <w:rPr>
          <w:rFonts w:eastAsia="仿宋_GB2312"/>
          <w:sz w:val="32"/>
          <w:szCs w:val="32"/>
        </w:rPr>
        <w:t>《甘肃省公路施工企业信用评价实施细则》（甘交公路〔2018〕184号）废止。</w:t>
      </w:r>
    </w:p>
    <w:p>
      <w:pPr>
        <w:widowControl/>
        <w:jc w:val="left"/>
        <w:rPr>
          <w:rFonts w:eastAsia="仿宋_GB2312"/>
          <w:sz w:val="32"/>
          <w:szCs w:val="32"/>
        </w:rPr>
      </w:pPr>
    </w:p>
    <w:p>
      <w:pPr>
        <w:widowControl/>
        <w:ind w:firstLine="640" w:firstLineChars="200"/>
        <w:jc w:val="left"/>
        <w:rPr>
          <w:rFonts w:eastAsia="仿宋_GB2312"/>
          <w:sz w:val="32"/>
          <w:szCs w:val="32"/>
        </w:rPr>
      </w:pPr>
      <w:r>
        <w:rPr>
          <w:rFonts w:eastAsia="仿宋_GB2312"/>
          <w:sz w:val="32"/>
          <w:szCs w:val="32"/>
        </w:rPr>
        <w:t>附件：《甘肃省公路施工企业信用评价标准》</w:t>
      </w:r>
    </w:p>
    <w:p>
      <w:pPr>
        <w:widowControl/>
        <w:jc w:val="left"/>
        <w:rPr>
          <w:rFonts w:eastAsia="仿宋_GB2312"/>
          <w:sz w:val="32"/>
          <w:szCs w:val="32"/>
        </w:rPr>
      </w:pPr>
      <w:r>
        <w:rPr>
          <w:rFonts w:eastAsia="仿宋_GB2312"/>
          <w:sz w:val="32"/>
          <w:szCs w:val="32"/>
        </w:rPr>
        <w:br w:type="page"/>
      </w:r>
    </w:p>
    <w:p>
      <w:pPr>
        <w:spacing w:before="156" w:beforeLines="50" w:after="156" w:afterLines="50"/>
        <w:jc w:val="left"/>
        <w:outlineLvl w:val="1"/>
        <w:rPr>
          <w:sz w:val="32"/>
        </w:rPr>
      </w:pPr>
      <w:r>
        <w:rPr>
          <w:sz w:val="32"/>
        </w:rPr>
        <w:t>附件</w:t>
      </w:r>
    </w:p>
    <w:p>
      <w:pPr>
        <w:spacing w:line="480" w:lineRule="auto"/>
        <w:jc w:val="center"/>
        <w:rPr>
          <w:rFonts w:eastAsia="黑体"/>
          <w:b/>
          <w:color w:val="000000"/>
          <w:kern w:val="0"/>
          <w:sz w:val="48"/>
          <w:szCs w:val="21"/>
        </w:rPr>
      </w:pPr>
    </w:p>
    <w:p>
      <w:pPr>
        <w:spacing w:before="156" w:beforeLines="50" w:after="156" w:afterLines="50"/>
        <w:ind w:firstLine="420"/>
        <w:jc w:val="center"/>
        <w:outlineLvl w:val="1"/>
        <w:rPr>
          <w:rFonts w:eastAsia="黑体"/>
          <w:color w:val="000000"/>
          <w:kern w:val="0"/>
          <w:sz w:val="40"/>
          <w:szCs w:val="18"/>
        </w:rPr>
      </w:pPr>
      <w:bookmarkStart w:id="12" w:name="_Hlk60928717"/>
      <w:r>
        <w:rPr>
          <w:rFonts w:eastAsia="黑体"/>
          <w:color w:val="000000"/>
          <w:kern w:val="0"/>
          <w:sz w:val="40"/>
          <w:szCs w:val="18"/>
        </w:rPr>
        <w:t>甘肃省公路施工企业信用评价标准</w:t>
      </w:r>
      <w:bookmarkEnd w:id="12"/>
    </w:p>
    <w:p>
      <w:pPr>
        <w:tabs>
          <w:tab w:val="left" w:pos="-142"/>
        </w:tabs>
        <w:rPr>
          <w:b/>
          <w:bCs/>
          <w:sz w:val="32"/>
          <w:szCs w:val="28"/>
        </w:rPr>
      </w:pPr>
    </w:p>
    <w:p>
      <w:pPr>
        <w:spacing w:before="156" w:beforeLines="50" w:after="156" w:afterLines="50"/>
        <w:ind w:firstLine="420"/>
        <w:outlineLvl w:val="1"/>
        <w:rPr>
          <w:rFonts w:eastAsia="黑体"/>
          <w:sz w:val="32"/>
          <w:szCs w:val="28"/>
        </w:rPr>
      </w:pPr>
      <w:r>
        <w:rPr>
          <w:rFonts w:eastAsia="黑体"/>
          <w:sz w:val="32"/>
          <w:szCs w:val="28"/>
        </w:rPr>
        <w:t>一、评价规则</w:t>
      </w:r>
    </w:p>
    <w:p>
      <w:pPr>
        <w:ind w:firstLine="562" w:firstLineChars="200"/>
        <w:rPr>
          <w:sz w:val="28"/>
          <w:szCs w:val="28"/>
        </w:rPr>
      </w:pPr>
      <w:r>
        <w:rPr>
          <w:b/>
          <w:sz w:val="28"/>
          <w:szCs w:val="28"/>
        </w:rPr>
        <w:t>1．评价单元。</w:t>
      </w:r>
      <w:r>
        <w:rPr>
          <w:sz w:val="28"/>
          <w:szCs w:val="28"/>
        </w:rPr>
        <w:t>公路</w:t>
      </w:r>
      <w:bookmarkStart w:id="13" w:name="_Hlk535805017"/>
      <w:r>
        <w:rPr>
          <w:sz w:val="28"/>
          <w:szCs w:val="28"/>
        </w:rPr>
        <w:t>施工</w:t>
      </w:r>
      <w:bookmarkEnd w:id="13"/>
      <w:r>
        <w:rPr>
          <w:sz w:val="28"/>
          <w:szCs w:val="28"/>
        </w:rPr>
        <w:t>企业投标行为以单次投标为评价单元，履约行为以单个标段为评价单元。</w:t>
      </w:r>
    </w:p>
    <w:p>
      <w:pPr>
        <w:ind w:firstLine="562" w:firstLineChars="200"/>
        <w:rPr>
          <w:sz w:val="28"/>
          <w:szCs w:val="28"/>
        </w:rPr>
      </w:pPr>
      <w:bookmarkStart w:id="14" w:name="_Hlk78229159"/>
      <w:r>
        <w:rPr>
          <w:b/>
          <w:sz w:val="28"/>
          <w:szCs w:val="28"/>
        </w:rPr>
        <w:t>2．评价主体。</w:t>
      </w:r>
      <w:bookmarkEnd w:id="14"/>
      <w:r>
        <w:rPr>
          <w:sz w:val="28"/>
          <w:szCs w:val="28"/>
        </w:rPr>
        <w:t>公路施工企业投标行为由招标人负责评价，履约行为由建设单位负责评价，其他行为由负责项目监管的交通运输主管部门负责评价。</w:t>
      </w:r>
    </w:p>
    <w:p>
      <w:pPr>
        <w:ind w:firstLine="560" w:firstLineChars="200"/>
        <w:rPr>
          <w:sz w:val="28"/>
          <w:szCs w:val="28"/>
        </w:rPr>
      </w:pPr>
      <w:r>
        <w:rPr>
          <w:sz w:val="28"/>
          <w:szCs w:val="28"/>
        </w:rPr>
        <w:t>招标人、建设单位、负责项目监管的交通运输主管部门等评价人，应对评价结果签认负责。</w:t>
      </w:r>
      <w:r>
        <w:rPr>
          <w:bCs/>
          <w:sz w:val="28"/>
          <w:szCs w:val="28"/>
        </w:rPr>
        <w:t>对施工企业同一失信行为，各</w:t>
      </w:r>
      <w:r>
        <w:rPr>
          <w:sz w:val="28"/>
          <w:szCs w:val="28"/>
        </w:rPr>
        <w:t>评价人</w:t>
      </w:r>
      <w:r>
        <w:rPr>
          <w:bCs/>
          <w:sz w:val="28"/>
          <w:szCs w:val="28"/>
        </w:rPr>
        <w:t>原则上不重复扣分，但应按“就高不就低”原则进行扣分。</w:t>
      </w:r>
    </w:p>
    <w:p>
      <w:pPr>
        <w:ind w:firstLine="560" w:firstLineChars="200"/>
        <w:rPr>
          <w:sz w:val="28"/>
          <w:szCs w:val="28"/>
        </w:rPr>
      </w:pPr>
      <w:r>
        <w:rPr>
          <w:sz w:val="28"/>
          <w:szCs w:val="28"/>
        </w:rPr>
        <w:t>当施工企业同时存在投标行为评价和履职履约行为评价时，其中投标行为评分系数为0.2，履职履约行为评分系数为0.8。</w:t>
      </w:r>
    </w:p>
    <w:p>
      <w:pPr>
        <w:spacing w:before="156" w:beforeLines="50" w:after="156" w:afterLines="50"/>
        <w:ind w:firstLine="420"/>
        <w:outlineLvl w:val="1"/>
        <w:rPr>
          <w:rFonts w:eastAsia="黑体"/>
          <w:sz w:val="32"/>
          <w:szCs w:val="28"/>
        </w:rPr>
      </w:pPr>
      <w:r>
        <w:rPr>
          <w:rFonts w:eastAsia="黑体"/>
          <w:sz w:val="32"/>
          <w:szCs w:val="28"/>
        </w:rPr>
        <w:t>二、评价方法和计算公式</w:t>
      </w:r>
    </w:p>
    <w:p>
      <w:pPr>
        <w:pStyle w:val="7"/>
        <w:ind w:right="0" w:firstLine="557" w:firstLineChars="198"/>
        <w:rPr>
          <w:rFonts w:ascii="Times New Roman" w:hAnsi="Times New Roman"/>
          <w:b/>
          <w:sz w:val="28"/>
          <w:szCs w:val="28"/>
        </w:rPr>
      </w:pPr>
      <w:r>
        <w:rPr>
          <w:rFonts w:ascii="Times New Roman" w:hAnsi="Times New Roman"/>
          <w:b/>
          <w:sz w:val="28"/>
          <w:szCs w:val="28"/>
        </w:rPr>
        <w:t>1．单元评价（以</w:t>
      </w:r>
      <w:bookmarkStart w:id="15" w:name="_Hlk60946940"/>
      <w:r>
        <w:rPr>
          <w:rFonts w:ascii="Times New Roman" w:hAnsi="Times New Roman"/>
          <w:b/>
          <w:sz w:val="28"/>
          <w:szCs w:val="28"/>
        </w:rPr>
        <w:t>单个</w:t>
      </w:r>
      <w:bookmarkEnd w:id="15"/>
      <w:r>
        <w:rPr>
          <w:rFonts w:ascii="Times New Roman" w:hAnsi="Times New Roman"/>
          <w:b/>
          <w:sz w:val="28"/>
          <w:szCs w:val="28"/>
        </w:rPr>
        <w:t>标段为评价单元）</w:t>
      </w:r>
    </w:p>
    <w:p>
      <w:pPr>
        <w:pStyle w:val="7"/>
        <w:ind w:right="0" w:firstLine="560"/>
        <w:rPr>
          <w:rFonts w:ascii="Times New Roman" w:hAnsi="Times New Roman"/>
          <w:bCs/>
          <w:sz w:val="28"/>
          <w:szCs w:val="28"/>
        </w:rPr>
      </w:pPr>
      <w:r>
        <w:rPr>
          <w:rFonts w:ascii="Times New Roman" w:hAnsi="Times New Roman"/>
          <w:bCs/>
          <w:sz w:val="28"/>
          <w:szCs w:val="28"/>
        </w:rPr>
        <w:t>施工企业投标行为信用评价得分：</w:t>
      </w:r>
      <w:r>
        <w:rPr>
          <w:rFonts w:ascii="Times New Roman" w:hAnsi="Times New Roman"/>
          <w:bCs/>
          <w:position w:val="-28"/>
          <w:sz w:val="28"/>
          <w:szCs w:val="28"/>
        </w:rPr>
        <w:drawing>
          <wp:inline distT="0" distB="0" distL="114300" distR="114300">
            <wp:extent cx="977900" cy="436245"/>
            <wp:effectExtent l="0" t="0" r="0" b="1905"/>
            <wp:docPr id="1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pic:cNvPicPr>
                      <a:picLocks noChangeAspect="1"/>
                    </pic:cNvPicPr>
                  </pic:nvPicPr>
                  <pic:blipFill>
                    <a:blip r:embed="rId8"/>
                    <a:stretch>
                      <a:fillRect/>
                    </a:stretch>
                  </pic:blipFill>
                  <pic:spPr>
                    <a:xfrm>
                      <a:off x="0" y="0"/>
                      <a:ext cx="977900" cy="436245"/>
                    </a:xfrm>
                    <a:prstGeom prst="rect">
                      <a:avLst/>
                    </a:prstGeom>
                    <a:noFill/>
                    <a:ln w="9525">
                      <a:noFill/>
                    </a:ln>
                  </pic:spPr>
                </pic:pic>
              </a:graphicData>
            </a:graphic>
          </wp:inline>
        </w:drawing>
      </w:r>
      <w:r>
        <w:rPr>
          <w:rFonts w:ascii="Times New Roman" w:hAnsi="Times New Roman"/>
          <w:bCs/>
          <w:sz w:val="28"/>
          <w:szCs w:val="28"/>
        </w:rPr>
        <w:t>，其中，</w:t>
      </w:r>
      <w:r>
        <w:rPr>
          <w:rFonts w:ascii="Times New Roman" w:hAnsi="Times New Roman"/>
          <w:bCs/>
          <w:i/>
          <w:iCs/>
          <w:sz w:val="28"/>
          <w:szCs w:val="28"/>
        </w:rPr>
        <w:t>i</w:t>
      </w:r>
      <w:r>
        <w:rPr>
          <w:rFonts w:ascii="Times New Roman" w:hAnsi="Times New Roman"/>
          <w:bCs/>
          <w:sz w:val="28"/>
          <w:szCs w:val="28"/>
        </w:rPr>
        <w:t>为不良投标行为数量，</w:t>
      </w:r>
      <w:r>
        <w:rPr>
          <w:rFonts w:ascii="Times New Roman" w:hAnsi="Times New Roman"/>
          <w:bCs/>
          <w:i/>
          <w:iCs/>
          <w:sz w:val="28"/>
          <w:szCs w:val="28"/>
        </w:rPr>
        <w:t>A</w:t>
      </w:r>
      <w:r>
        <w:rPr>
          <w:rFonts w:ascii="Times New Roman" w:hAnsi="Times New Roman"/>
          <w:bCs/>
          <w:sz w:val="28"/>
          <w:szCs w:val="28"/>
          <w:vertAlign w:val="subscript"/>
        </w:rPr>
        <w:t>i</w:t>
      </w:r>
      <w:r>
        <w:rPr>
          <w:rFonts w:ascii="Times New Roman" w:hAnsi="Times New Roman"/>
          <w:bCs/>
          <w:sz w:val="28"/>
          <w:szCs w:val="28"/>
        </w:rPr>
        <w:t>为不良投标行为对应的扣分标准。</w:t>
      </w:r>
    </w:p>
    <w:p>
      <w:pPr>
        <w:pStyle w:val="7"/>
        <w:ind w:right="0" w:firstLine="560"/>
        <w:rPr>
          <w:rFonts w:ascii="Times New Roman" w:hAnsi="Times New Roman"/>
          <w:bCs/>
          <w:sz w:val="28"/>
          <w:szCs w:val="28"/>
        </w:rPr>
      </w:pPr>
      <w:r>
        <w:rPr>
          <w:rFonts w:ascii="Times New Roman" w:hAnsi="Times New Roman"/>
          <w:bCs/>
          <w:sz w:val="28"/>
          <w:szCs w:val="28"/>
        </w:rPr>
        <w:t>施工企业</w:t>
      </w:r>
      <w:r>
        <w:rPr>
          <w:rFonts w:ascii="Times New Roman" w:hAnsi="Times New Roman"/>
          <w:sz w:val="28"/>
          <w:szCs w:val="28"/>
        </w:rPr>
        <w:t>履职</w:t>
      </w:r>
      <w:r>
        <w:rPr>
          <w:rFonts w:ascii="Times New Roman" w:hAnsi="Times New Roman"/>
          <w:bCs/>
          <w:sz w:val="28"/>
          <w:szCs w:val="28"/>
        </w:rPr>
        <w:t>履约行为信用评价得分：</w:t>
      </w:r>
      <w:r>
        <w:rPr>
          <w:rFonts w:ascii="Times New Roman" w:hAnsi="Times New Roman"/>
          <w:bCs/>
          <w:position w:val="-28"/>
          <w:sz w:val="28"/>
          <w:szCs w:val="28"/>
        </w:rPr>
        <w:drawing>
          <wp:inline distT="0" distB="0" distL="114300" distR="114300">
            <wp:extent cx="968375" cy="436245"/>
            <wp:effectExtent l="0" t="0" r="3175" b="1905"/>
            <wp:docPr id="1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8"/>
                    <pic:cNvPicPr>
                      <a:picLocks noChangeAspect="1"/>
                    </pic:cNvPicPr>
                  </pic:nvPicPr>
                  <pic:blipFill>
                    <a:blip r:embed="rId9"/>
                    <a:stretch>
                      <a:fillRect/>
                    </a:stretch>
                  </pic:blipFill>
                  <pic:spPr>
                    <a:xfrm>
                      <a:off x="0" y="0"/>
                      <a:ext cx="968375" cy="436245"/>
                    </a:xfrm>
                    <a:prstGeom prst="rect">
                      <a:avLst/>
                    </a:prstGeom>
                    <a:noFill/>
                    <a:ln w="9525">
                      <a:noFill/>
                    </a:ln>
                  </pic:spPr>
                </pic:pic>
              </a:graphicData>
            </a:graphic>
          </wp:inline>
        </w:drawing>
      </w:r>
      <w:r>
        <w:rPr>
          <w:rFonts w:ascii="Times New Roman" w:hAnsi="Times New Roman"/>
          <w:bCs/>
          <w:sz w:val="28"/>
          <w:szCs w:val="28"/>
        </w:rPr>
        <w:t>，其中，</w:t>
      </w:r>
      <w:r>
        <w:rPr>
          <w:rFonts w:ascii="Times New Roman" w:hAnsi="Times New Roman"/>
          <w:bCs/>
          <w:i/>
          <w:iCs/>
          <w:sz w:val="28"/>
          <w:szCs w:val="28"/>
        </w:rPr>
        <w:t>i</w:t>
      </w:r>
      <w:r>
        <w:rPr>
          <w:rFonts w:ascii="Times New Roman" w:hAnsi="Times New Roman"/>
          <w:bCs/>
          <w:sz w:val="28"/>
          <w:szCs w:val="28"/>
        </w:rPr>
        <w:t>为不良履约行为数量，</w:t>
      </w:r>
      <w:r>
        <w:rPr>
          <w:rFonts w:ascii="Times New Roman" w:hAnsi="Times New Roman"/>
          <w:bCs/>
          <w:i/>
          <w:iCs/>
          <w:sz w:val="28"/>
          <w:szCs w:val="28"/>
        </w:rPr>
        <w:t>B</w:t>
      </w:r>
      <w:r>
        <w:rPr>
          <w:rFonts w:ascii="Times New Roman" w:hAnsi="Times New Roman"/>
          <w:bCs/>
          <w:sz w:val="28"/>
          <w:szCs w:val="28"/>
          <w:vertAlign w:val="subscript"/>
        </w:rPr>
        <w:t>i</w:t>
      </w:r>
      <w:r>
        <w:rPr>
          <w:rFonts w:ascii="Times New Roman" w:hAnsi="Times New Roman"/>
          <w:bCs/>
          <w:sz w:val="28"/>
          <w:szCs w:val="28"/>
        </w:rPr>
        <w:t>为不良</w:t>
      </w:r>
      <w:r>
        <w:rPr>
          <w:rFonts w:ascii="Times New Roman" w:hAnsi="Times New Roman"/>
          <w:sz w:val="28"/>
          <w:szCs w:val="28"/>
        </w:rPr>
        <w:t>履职</w:t>
      </w:r>
      <w:r>
        <w:rPr>
          <w:rFonts w:ascii="Times New Roman" w:hAnsi="Times New Roman"/>
          <w:bCs/>
          <w:sz w:val="28"/>
          <w:szCs w:val="28"/>
        </w:rPr>
        <w:t>履约行为对应的扣分标准。</w:t>
      </w:r>
    </w:p>
    <w:p>
      <w:pPr>
        <w:pStyle w:val="7"/>
        <w:ind w:right="0" w:firstLine="557" w:firstLineChars="198"/>
        <w:rPr>
          <w:rFonts w:ascii="Times New Roman" w:hAnsi="Times New Roman"/>
          <w:b/>
          <w:sz w:val="28"/>
          <w:szCs w:val="28"/>
        </w:rPr>
      </w:pPr>
      <w:r>
        <w:rPr>
          <w:rFonts w:ascii="Times New Roman" w:hAnsi="Times New Roman"/>
          <w:b/>
          <w:sz w:val="28"/>
          <w:szCs w:val="28"/>
        </w:rPr>
        <w:t>2．省级评价</w:t>
      </w:r>
    </w:p>
    <w:p>
      <w:pPr>
        <w:pStyle w:val="7"/>
        <w:ind w:right="0" w:firstLine="554" w:firstLineChars="198"/>
        <w:rPr>
          <w:rFonts w:ascii="Times New Roman" w:hAnsi="Times New Roman"/>
          <w:bCs/>
          <w:sz w:val="28"/>
          <w:szCs w:val="28"/>
        </w:rPr>
      </w:pPr>
      <w:r>
        <w:rPr>
          <w:rFonts w:ascii="Times New Roman" w:hAnsi="Times New Roman"/>
          <w:bCs/>
          <w:sz w:val="28"/>
          <w:szCs w:val="28"/>
        </w:rPr>
        <w:t>施工企业在本省投标行为评价得分和</w:t>
      </w:r>
      <w:r>
        <w:rPr>
          <w:rFonts w:ascii="Times New Roman" w:hAnsi="Times New Roman"/>
          <w:sz w:val="28"/>
          <w:szCs w:val="28"/>
        </w:rPr>
        <w:t>履职</w:t>
      </w:r>
      <w:r>
        <w:rPr>
          <w:rFonts w:ascii="Times New Roman" w:hAnsi="Times New Roman"/>
          <w:bCs/>
          <w:sz w:val="28"/>
          <w:szCs w:val="28"/>
        </w:rPr>
        <w:t>履约行为评价得分计算公式为：</w:t>
      </w:r>
    </w:p>
    <w:p>
      <w:pPr>
        <w:pStyle w:val="7"/>
        <w:ind w:right="0" w:firstLine="573" w:firstLineChars="204"/>
        <w:rPr>
          <w:rFonts w:ascii="Times New Roman" w:hAnsi="Times New Roman"/>
          <w:bCs/>
          <w:sz w:val="28"/>
          <w:szCs w:val="28"/>
        </w:rPr>
      </w:pPr>
      <w:r>
        <w:rPr>
          <w:rFonts w:ascii="Times New Roman" w:hAnsi="Times New Roman"/>
          <w:b/>
          <w:bCs/>
          <w:sz w:val="28"/>
          <w:szCs w:val="28"/>
        </w:rPr>
        <w:t>投标行为评价得分：</w:t>
      </w:r>
    </w:p>
    <w:p>
      <w:pPr>
        <w:pStyle w:val="7"/>
        <w:ind w:firstLine="571" w:firstLineChars="204"/>
        <w:jc w:val="center"/>
        <w:rPr>
          <w:rFonts w:ascii="Times New Roman" w:hAnsi="Times New Roman"/>
          <w:b/>
          <w:bCs/>
          <w:sz w:val="28"/>
          <w:szCs w:val="28"/>
        </w:rPr>
      </w:pPr>
      <m:oMathPara>
        <m:oMath>
          <m:r>
            <m:rPr/>
            <w:rPr>
              <w:rFonts w:ascii="Cambria Math" w:hAnsi="Cambria Math"/>
              <w:sz w:val="28"/>
              <w:szCs w:val="28"/>
            </w:rPr>
            <m:t>T=</m:t>
          </m:r>
          <m:nary>
            <m:naryPr>
              <m:chr m:val="∑"/>
              <m:grow m:val="1"/>
              <m:ctrlPr>
                <w:rPr>
                  <w:rFonts w:ascii="Cambria Math" w:hAnsi="Cambria Math"/>
                  <w:bCs/>
                  <w:sz w:val="28"/>
                  <w:szCs w:val="28"/>
                </w:rPr>
              </m:ctrlPr>
            </m:naryPr>
            <m:sub>
              <m:r>
                <m:rPr/>
                <w:rPr>
                  <w:rFonts w:ascii="Cambria Math" w:hAnsi="Cambria Math"/>
                  <w:sz w:val="28"/>
                  <w:szCs w:val="28"/>
                </w:rPr>
                <m:t>i=</m:t>
              </m:r>
              <m:r>
                <m:rPr>
                  <m:sty m:val="p"/>
                </m:rPr>
                <w:rPr>
                  <w:rFonts w:ascii="Cambria Math" w:hAnsi="Cambria Math"/>
                  <w:sz w:val="28"/>
                  <w:szCs w:val="28"/>
                </w:rPr>
                <m:t>1</m:t>
              </m:r>
              <m:ctrlPr>
                <w:rPr>
                  <w:rFonts w:ascii="Cambria Math" w:hAnsi="Cambria Math"/>
                  <w:bCs/>
                  <w:sz w:val="28"/>
                  <w:szCs w:val="28"/>
                </w:rPr>
              </m:ctrlPr>
            </m:sub>
            <m:sup>
              <m:r>
                <m:rPr/>
                <w:rPr>
                  <w:rFonts w:ascii="Cambria Math" w:hAnsi="Cambria Math"/>
                  <w:sz w:val="28"/>
                  <w:szCs w:val="28"/>
                </w:rPr>
                <m:t>n</m:t>
              </m:r>
              <m:ctrlPr>
                <w:rPr>
                  <w:rFonts w:ascii="Cambria Math" w:hAnsi="Cambria Math"/>
                  <w:bCs/>
                  <w:sz w:val="28"/>
                  <w:szCs w:val="28"/>
                </w:rPr>
              </m:ctrlPr>
            </m:sup>
            <m:e>
              <m:sSub>
                <m:sSubPr>
                  <m:ctrlPr>
                    <w:rPr>
                      <w:rFonts w:ascii="Cambria Math" w:hAnsi="Cambria Math"/>
                      <w:bCs/>
                      <w:i/>
                      <w:sz w:val="28"/>
                      <w:szCs w:val="28"/>
                    </w:rPr>
                  </m:ctrlPr>
                </m:sSubPr>
                <m:e>
                  <m:sSub>
                    <m:sSubPr>
                      <m:ctrlPr>
                        <w:rPr>
                          <w:rFonts w:ascii="Cambria Math" w:hAnsi="Cambria Math"/>
                          <w:bCs/>
                          <w:i/>
                          <w:sz w:val="28"/>
                          <w:szCs w:val="28"/>
                        </w:rPr>
                      </m:ctrlPr>
                    </m:sSubPr>
                    <m:e>
                      <m:r>
                        <m:rPr/>
                        <w:rPr>
                          <w:rFonts w:ascii="Cambria Math" w:hAnsi="Cambria Math"/>
                          <w:sz w:val="28"/>
                          <w:szCs w:val="28"/>
                        </w:rPr>
                        <m:t>T</m:t>
                      </m:r>
                      <m:ctrlPr>
                        <w:rPr>
                          <w:rFonts w:ascii="Cambria Math" w:hAnsi="Cambria Math"/>
                          <w:bCs/>
                          <w:i/>
                          <w:sz w:val="28"/>
                          <w:szCs w:val="28"/>
                        </w:rPr>
                      </m:ctrlPr>
                    </m:e>
                    <m:sub>
                      <m:r>
                        <m:rPr/>
                        <w:rPr>
                          <w:rFonts w:ascii="Cambria Math" w:hAnsi="Cambria Math"/>
                          <w:sz w:val="28"/>
                          <w:szCs w:val="28"/>
                        </w:rPr>
                        <m:t>i</m:t>
                      </m:r>
                      <m:ctrlPr>
                        <w:rPr>
                          <w:rFonts w:ascii="Cambria Math" w:hAnsi="Cambria Math"/>
                          <w:bCs/>
                          <w:i/>
                          <w:sz w:val="28"/>
                          <w:szCs w:val="28"/>
                        </w:rPr>
                      </m:ctrlPr>
                    </m:sub>
                  </m:sSub>
                  <m:ctrlPr>
                    <w:rPr>
                      <w:rFonts w:ascii="Cambria Math" w:hAnsi="Cambria Math"/>
                      <w:bCs/>
                      <w:i/>
                      <w:sz w:val="28"/>
                      <w:szCs w:val="28"/>
                    </w:rPr>
                  </m:ctrlPr>
                </m:e>
                <m:sub>
                  <m:r>
                    <m:rPr/>
                    <w:rPr>
                      <w:rFonts w:ascii="Cambria Math" w:hAnsi="Cambria Math"/>
                      <w:sz w:val="28"/>
                      <w:szCs w:val="28"/>
                    </w:rPr>
                    <m:t xml:space="preserve"> </m:t>
                  </m:r>
                  <m:ctrlPr>
                    <w:rPr>
                      <w:rFonts w:ascii="Cambria Math" w:hAnsi="Cambria Math"/>
                      <w:bCs/>
                      <w:i/>
                      <w:sz w:val="28"/>
                      <w:szCs w:val="28"/>
                    </w:rPr>
                  </m:ctrlPr>
                </m:sub>
              </m:sSub>
              <m:r>
                <m:rPr/>
                <w:rPr>
                  <w:rFonts w:ascii="Cambria Math" w:hAnsi="Cambria Math"/>
                  <w:sz w:val="28"/>
                  <w:szCs w:val="28"/>
                </w:rPr>
                <m:t>/</m:t>
              </m:r>
              <m:ctrlPr>
                <w:rPr>
                  <w:rFonts w:ascii="Cambria Math" w:hAnsi="Cambria Math"/>
                  <w:bCs/>
                  <w:sz w:val="28"/>
                  <w:szCs w:val="28"/>
                </w:rPr>
              </m:ctrlPr>
            </m:e>
          </m:nary>
          <m:r>
            <m:rPr/>
            <w:rPr>
              <w:rFonts w:ascii="Cambria Math" w:hAnsi="Cambria Math"/>
              <w:sz w:val="28"/>
              <w:szCs w:val="28"/>
            </w:rPr>
            <m:t>n</m:t>
          </m:r>
        </m:oMath>
      </m:oMathPara>
    </w:p>
    <w:p>
      <w:pPr>
        <w:pStyle w:val="7"/>
        <w:ind w:right="0" w:firstLine="708" w:firstLineChars="253"/>
        <w:rPr>
          <w:rFonts w:ascii="Times New Roman" w:hAnsi="Times New Roman"/>
          <w:bCs/>
          <w:sz w:val="28"/>
          <w:szCs w:val="28"/>
        </w:rPr>
      </w:pPr>
      <w:r>
        <w:rPr>
          <w:rFonts w:ascii="Times New Roman" w:hAnsi="Times New Roman"/>
          <w:bCs/>
          <w:sz w:val="28"/>
          <w:szCs w:val="28"/>
        </w:rPr>
        <w:t>（其中：</w:t>
      </w:r>
      <w:r>
        <w:rPr>
          <w:rFonts w:ascii="Times New Roman" w:hAnsi="Times New Roman"/>
          <w:bCs/>
          <w:i/>
          <w:sz w:val="28"/>
          <w:szCs w:val="28"/>
        </w:rPr>
        <w:t>i</w:t>
      </w:r>
      <w:r>
        <w:rPr>
          <w:rFonts w:ascii="Times New Roman" w:hAnsi="Times New Roman"/>
          <w:bCs/>
          <w:sz w:val="28"/>
          <w:szCs w:val="28"/>
        </w:rPr>
        <w:t>为施工企业在本省被进行投标行为评价的评价单元数量，</w:t>
      </w:r>
      <w:r>
        <w:rPr>
          <w:rFonts w:ascii="Times New Roman" w:hAnsi="Times New Roman"/>
          <w:bCs/>
          <w:i/>
          <w:sz w:val="28"/>
          <w:szCs w:val="28"/>
        </w:rPr>
        <w:t>i=1,2,…,n</w:t>
      </w:r>
      <w:r>
        <w:rPr>
          <w:rFonts w:ascii="Times New Roman" w:hAnsi="Times New Roman"/>
          <w:bCs/>
          <w:sz w:val="28"/>
          <w:szCs w:val="28"/>
        </w:rPr>
        <w:t>，</w:t>
      </w:r>
      <w:r>
        <w:rPr>
          <w:rFonts w:ascii="Times New Roman" w:hAnsi="Times New Roman"/>
          <w:bCs/>
          <w:i/>
          <w:iCs/>
          <w:sz w:val="28"/>
          <w:szCs w:val="28"/>
        </w:rPr>
        <w:t>T</w:t>
      </w:r>
      <w:r>
        <w:rPr>
          <w:rFonts w:ascii="Times New Roman" w:hAnsi="Times New Roman"/>
          <w:bCs/>
          <w:i/>
          <w:iCs/>
          <w:sz w:val="28"/>
          <w:szCs w:val="28"/>
          <w:vertAlign w:val="subscript"/>
        </w:rPr>
        <w:t>i</w:t>
      </w:r>
      <w:r>
        <w:rPr>
          <w:rFonts w:ascii="Times New Roman" w:hAnsi="Times New Roman"/>
          <w:bCs/>
          <w:sz w:val="28"/>
          <w:szCs w:val="28"/>
        </w:rPr>
        <w:t>为施工企业在某项目建设管理招标中投标行为信用评价得分）</w:t>
      </w:r>
    </w:p>
    <w:p>
      <w:pPr>
        <w:pStyle w:val="7"/>
        <w:ind w:right="0" w:firstLine="711" w:firstLineChars="253"/>
        <w:rPr>
          <w:rFonts w:ascii="Times New Roman" w:hAnsi="Times New Roman"/>
          <w:b/>
          <w:bCs/>
          <w:sz w:val="28"/>
          <w:szCs w:val="28"/>
        </w:rPr>
      </w:pPr>
      <w:r>
        <w:rPr>
          <w:rFonts w:ascii="Times New Roman" w:hAnsi="Times New Roman"/>
          <w:b/>
          <w:bCs/>
          <w:sz w:val="28"/>
          <w:szCs w:val="28"/>
        </w:rPr>
        <w:t>履职履约行为评价得分：</w:t>
      </w:r>
    </w:p>
    <w:p>
      <w:pPr>
        <w:pStyle w:val="7"/>
        <w:ind w:right="0" w:firstLine="708" w:firstLineChars="253"/>
        <w:jc w:val="center"/>
        <w:rPr>
          <w:rFonts w:ascii="Times New Roman" w:hAnsi="Times New Roman"/>
          <w:bCs/>
          <w:sz w:val="28"/>
          <w:szCs w:val="28"/>
        </w:rPr>
      </w:pPr>
      <w:r>
        <w:rPr>
          <w:rFonts w:ascii="Times New Roman" w:hAnsi="Times New Roman"/>
          <w:bCs/>
          <w:position w:val="-28"/>
          <w:sz w:val="28"/>
          <w:szCs w:val="28"/>
        </w:rPr>
        <w:drawing>
          <wp:inline distT="0" distB="0" distL="114300" distR="114300">
            <wp:extent cx="2052955" cy="499745"/>
            <wp:effectExtent l="0" t="0" r="0" b="0"/>
            <wp:docPr id="2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1"/>
                    <pic:cNvPicPr>
                      <a:picLocks noChangeAspect="1"/>
                    </pic:cNvPicPr>
                  </pic:nvPicPr>
                  <pic:blipFill>
                    <a:blip r:embed="rId10"/>
                    <a:stretch>
                      <a:fillRect/>
                    </a:stretch>
                  </pic:blipFill>
                  <pic:spPr>
                    <a:xfrm>
                      <a:off x="0" y="0"/>
                      <a:ext cx="2095361" cy="510496"/>
                    </a:xfrm>
                    <a:prstGeom prst="rect">
                      <a:avLst/>
                    </a:prstGeom>
                    <a:noFill/>
                    <a:ln w="9525">
                      <a:noFill/>
                    </a:ln>
                  </pic:spPr>
                </pic:pic>
              </a:graphicData>
            </a:graphic>
          </wp:inline>
        </w:drawing>
      </w:r>
    </w:p>
    <w:p>
      <w:pPr>
        <w:pStyle w:val="7"/>
        <w:ind w:right="0" w:firstLine="560"/>
        <w:rPr>
          <w:rFonts w:ascii="Times New Roman" w:hAnsi="Times New Roman"/>
          <w:bCs/>
          <w:sz w:val="28"/>
          <w:szCs w:val="28"/>
        </w:rPr>
      </w:pPr>
      <w:r>
        <w:rPr>
          <w:rFonts w:ascii="Times New Roman" w:hAnsi="Times New Roman"/>
          <w:bCs/>
          <w:sz w:val="28"/>
          <w:szCs w:val="28"/>
        </w:rPr>
        <w:t>（其中：</w:t>
      </w:r>
      <w:r>
        <w:rPr>
          <w:rFonts w:ascii="Times New Roman" w:hAnsi="Times New Roman"/>
          <w:bCs/>
          <w:i/>
          <w:iCs/>
          <w:sz w:val="28"/>
          <w:szCs w:val="28"/>
        </w:rPr>
        <w:t>i</w:t>
      </w:r>
      <w:r>
        <w:rPr>
          <w:rFonts w:ascii="Times New Roman" w:hAnsi="Times New Roman"/>
          <w:bCs/>
          <w:sz w:val="28"/>
          <w:szCs w:val="28"/>
        </w:rPr>
        <w:t>为施工企业在本省被进行</w:t>
      </w:r>
      <w:r>
        <w:rPr>
          <w:rFonts w:ascii="Times New Roman" w:hAnsi="Times New Roman"/>
          <w:sz w:val="28"/>
          <w:szCs w:val="28"/>
        </w:rPr>
        <w:t>履职</w:t>
      </w:r>
      <w:r>
        <w:rPr>
          <w:rFonts w:ascii="Times New Roman" w:hAnsi="Times New Roman"/>
          <w:bCs/>
          <w:sz w:val="28"/>
          <w:szCs w:val="28"/>
        </w:rPr>
        <w:t>履约行为评价的评价单元数量，</w:t>
      </w:r>
      <w:r>
        <w:rPr>
          <w:rFonts w:ascii="Times New Roman" w:hAnsi="Times New Roman"/>
          <w:bCs/>
          <w:i/>
          <w:iCs/>
          <w:sz w:val="28"/>
          <w:szCs w:val="28"/>
        </w:rPr>
        <w:t>i</w:t>
      </w:r>
      <w:r>
        <w:rPr>
          <w:rFonts w:ascii="Times New Roman" w:hAnsi="Times New Roman"/>
          <w:bCs/>
          <w:sz w:val="28"/>
          <w:szCs w:val="28"/>
        </w:rPr>
        <w:t>=</w:t>
      </w:r>
      <w:r>
        <w:rPr>
          <w:rFonts w:ascii="Times New Roman" w:hAnsi="Times New Roman"/>
          <w:bCs/>
          <w:i/>
          <w:iCs/>
          <w:sz w:val="28"/>
          <w:szCs w:val="28"/>
        </w:rPr>
        <w:t>1,2,…,n</w:t>
      </w:r>
      <w:r>
        <w:rPr>
          <w:rFonts w:ascii="Times New Roman" w:hAnsi="Times New Roman"/>
          <w:bCs/>
          <w:sz w:val="28"/>
          <w:szCs w:val="28"/>
        </w:rPr>
        <w:t>，</w:t>
      </w:r>
      <w:r>
        <w:rPr>
          <w:rFonts w:ascii="Times New Roman" w:hAnsi="Times New Roman"/>
          <w:i/>
          <w:iCs/>
          <w:position w:val="-4"/>
          <w:sz w:val="28"/>
          <w:szCs w:val="28"/>
        </w:rPr>
        <w:t>L</w:t>
      </w:r>
      <w:r>
        <w:rPr>
          <w:rFonts w:ascii="Times New Roman" w:hAnsi="Times New Roman"/>
          <w:bCs/>
          <w:i/>
          <w:iCs/>
          <w:sz w:val="28"/>
          <w:szCs w:val="28"/>
          <w:vertAlign w:val="subscript"/>
        </w:rPr>
        <w:t>i</w:t>
      </w:r>
      <w:r>
        <w:rPr>
          <w:rFonts w:ascii="Times New Roman" w:hAnsi="Times New Roman"/>
          <w:bCs/>
          <w:sz w:val="28"/>
          <w:szCs w:val="28"/>
        </w:rPr>
        <w:t>为施工企业在某建设项目</w:t>
      </w:r>
      <w:r>
        <w:rPr>
          <w:rFonts w:ascii="Times New Roman" w:hAnsi="Times New Roman"/>
          <w:sz w:val="28"/>
          <w:szCs w:val="28"/>
        </w:rPr>
        <w:t>履职</w:t>
      </w:r>
      <w:r>
        <w:rPr>
          <w:rFonts w:ascii="Times New Roman" w:hAnsi="Times New Roman"/>
          <w:bCs/>
          <w:sz w:val="28"/>
          <w:szCs w:val="28"/>
        </w:rPr>
        <w:t>履约行为信用评价得分，</w:t>
      </w:r>
      <w:r>
        <w:rPr>
          <w:rFonts w:ascii="Times New Roman" w:hAnsi="Times New Roman"/>
          <w:bCs/>
          <w:i/>
          <w:iCs/>
          <w:sz w:val="28"/>
          <w:szCs w:val="28"/>
        </w:rPr>
        <w:t>C</w:t>
      </w:r>
      <w:r>
        <w:rPr>
          <w:rFonts w:ascii="Times New Roman" w:hAnsi="Times New Roman"/>
          <w:bCs/>
          <w:sz w:val="28"/>
          <w:szCs w:val="28"/>
          <w:vertAlign w:val="subscript"/>
        </w:rPr>
        <w:t>i</w:t>
      </w:r>
      <w:r>
        <w:rPr>
          <w:rFonts w:ascii="Times New Roman" w:hAnsi="Times New Roman"/>
          <w:bCs/>
          <w:sz w:val="28"/>
          <w:szCs w:val="28"/>
        </w:rPr>
        <w:t>为施工企业所履约建设项目的标价或造价）。</w:t>
      </w:r>
    </w:p>
    <w:p>
      <w:pPr>
        <w:pStyle w:val="7"/>
        <w:ind w:right="0" w:firstLine="711" w:firstLineChars="253"/>
        <w:rPr>
          <w:rFonts w:ascii="Times New Roman" w:hAnsi="Times New Roman"/>
          <w:b/>
          <w:bCs/>
          <w:color w:val="000000"/>
          <w:sz w:val="28"/>
          <w:szCs w:val="28"/>
        </w:rPr>
      </w:pPr>
      <w:r>
        <w:rPr>
          <w:rFonts w:ascii="Times New Roman" w:hAnsi="Times New Roman"/>
          <w:b/>
          <w:bCs/>
          <w:sz w:val="28"/>
          <w:szCs w:val="28"/>
        </w:rPr>
        <w:t>施工企业省级综合评分：</w:t>
      </w:r>
    </w:p>
    <w:p>
      <w:pPr>
        <w:ind w:firstLine="420"/>
        <w:rPr>
          <w:sz w:val="22"/>
          <w:szCs w:val="22"/>
        </w:rPr>
      </w:pPr>
      <m:oMathPara>
        <m:oMath>
          <m:r>
            <m:rPr/>
            <w:rPr>
              <w:rFonts w:ascii="Cambria Math" w:hAnsi="Cambria Math"/>
              <w:sz w:val="28"/>
              <w:szCs w:val="22"/>
            </w:rPr>
            <m:t>X=aT+bL</m:t>
          </m:r>
          <m:r>
            <m:rPr/>
            <w:rPr>
              <w:rFonts w:ascii="Cambria Math" w:hAnsi="Cambria Math" w:eastAsia="微软雅黑"/>
              <w:sz w:val="28"/>
              <w:szCs w:val="22"/>
            </w:rPr>
            <m:t>−</m:t>
          </m:r>
          <m:nary>
            <m:naryPr>
              <m:chr m:val="∑"/>
              <m:ctrlPr>
                <w:rPr>
                  <w:rFonts w:ascii="Cambria Math" w:hAnsi="Cambria Math"/>
                  <w:i/>
                  <w:sz w:val="28"/>
                  <w:szCs w:val="22"/>
                </w:rPr>
              </m:ctrlPr>
            </m:naryPr>
            <m:sub>
              <m:r>
                <m:rPr/>
                <w:rPr>
                  <w:rFonts w:ascii="Cambria Math" w:hAnsi="Cambria Math"/>
                  <w:sz w:val="28"/>
                  <w:szCs w:val="22"/>
                </w:rPr>
                <m:t>i=1</m:t>
              </m:r>
              <m:ctrlPr>
                <w:rPr>
                  <w:rFonts w:ascii="Cambria Math" w:hAnsi="Cambria Math"/>
                  <w:i/>
                  <w:sz w:val="28"/>
                  <w:szCs w:val="22"/>
                </w:rPr>
              </m:ctrlPr>
            </m:sub>
            <m:sup>
              <m:r>
                <m:rPr/>
                <w:rPr>
                  <w:rFonts w:ascii="Cambria Math" w:hAnsi="Cambria Math"/>
                  <w:sz w:val="28"/>
                  <w:szCs w:val="22"/>
                </w:rPr>
                <m:t>n</m:t>
              </m:r>
              <m:ctrlPr>
                <w:rPr>
                  <w:rFonts w:ascii="Cambria Math" w:hAnsi="Cambria Math"/>
                  <w:i/>
                  <w:sz w:val="28"/>
                  <w:szCs w:val="22"/>
                </w:rPr>
              </m:ctrlPr>
            </m:sup>
            <m:e>
              <m:sSub>
                <m:sSubPr>
                  <m:ctrlPr>
                    <w:rPr>
                      <w:rFonts w:ascii="Cambria Math" w:hAnsi="Cambria Math"/>
                      <w:i/>
                      <w:sz w:val="28"/>
                      <w:szCs w:val="22"/>
                    </w:rPr>
                  </m:ctrlPr>
                </m:sSubPr>
                <m:e>
                  <m:r>
                    <m:rPr/>
                    <w:rPr>
                      <w:rFonts w:ascii="Cambria Math" w:hAnsi="Cambria Math"/>
                      <w:sz w:val="28"/>
                      <w:szCs w:val="22"/>
                    </w:rPr>
                    <m:t>Q</m:t>
                  </m:r>
                  <m:ctrlPr>
                    <w:rPr>
                      <w:rFonts w:ascii="Cambria Math" w:hAnsi="Cambria Math"/>
                      <w:i/>
                      <w:sz w:val="28"/>
                      <w:szCs w:val="22"/>
                    </w:rPr>
                  </m:ctrlPr>
                </m:e>
                <m:sub>
                  <m:r>
                    <m:rPr/>
                    <w:rPr>
                      <w:rFonts w:ascii="Cambria Math" w:hAnsi="Cambria Math"/>
                      <w:sz w:val="28"/>
                      <w:szCs w:val="22"/>
                    </w:rPr>
                    <m:t>i</m:t>
                  </m:r>
                  <m:ctrlPr>
                    <w:rPr>
                      <w:rFonts w:ascii="Cambria Math" w:hAnsi="Cambria Math"/>
                      <w:i/>
                      <w:sz w:val="28"/>
                      <w:szCs w:val="22"/>
                    </w:rPr>
                  </m:ctrlPr>
                </m:sub>
              </m:sSub>
              <m:ctrlPr>
                <w:rPr>
                  <w:rFonts w:ascii="Cambria Math" w:hAnsi="Cambria Math"/>
                  <w:i/>
                  <w:sz w:val="28"/>
                  <w:szCs w:val="22"/>
                </w:rPr>
              </m:ctrlPr>
            </m:e>
          </m:nary>
        </m:oMath>
      </m:oMathPara>
    </w:p>
    <w:p>
      <w:pPr>
        <w:pStyle w:val="7"/>
        <w:ind w:right="0" w:firstLine="420" w:firstLineChars="150"/>
        <w:rPr>
          <w:rFonts w:ascii="Times New Roman" w:hAnsi="Times New Roman"/>
          <w:bCs/>
          <w:sz w:val="28"/>
          <w:szCs w:val="28"/>
          <w:highlight w:val="yellow"/>
        </w:rPr>
      </w:pPr>
      <w:r>
        <w:rPr>
          <w:rFonts w:ascii="Times New Roman" w:hAnsi="Times New Roman"/>
          <w:bCs/>
          <w:color w:val="000000"/>
          <w:sz w:val="28"/>
          <w:szCs w:val="28"/>
        </w:rPr>
        <w:t>（其中：</w:t>
      </w:r>
      <w:r>
        <w:rPr>
          <w:rFonts w:ascii="Times New Roman" w:hAnsi="Times New Roman"/>
          <w:bCs/>
          <w:i/>
          <w:iCs/>
          <w:color w:val="000000"/>
          <w:sz w:val="28"/>
          <w:szCs w:val="28"/>
        </w:rPr>
        <w:t>T</w:t>
      </w:r>
      <w:r>
        <w:rPr>
          <w:rFonts w:ascii="Times New Roman" w:hAnsi="Times New Roman"/>
          <w:bCs/>
          <w:color w:val="000000"/>
          <w:sz w:val="28"/>
          <w:szCs w:val="28"/>
        </w:rPr>
        <w:t>为</w:t>
      </w:r>
      <w:r>
        <w:rPr>
          <w:rFonts w:ascii="Times New Roman" w:hAnsi="Times New Roman"/>
          <w:bCs/>
          <w:sz w:val="28"/>
          <w:szCs w:val="28"/>
        </w:rPr>
        <w:t>施工企业</w:t>
      </w:r>
      <w:r>
        <w:rPr>
          <w:rFonts w:ascii="Times New Roman" w:hAnsi="Times New Roman"/>
          <w:bCs/>
          <w:color w:val="000000"/>
          <w:sz w:val="28"/>
          <w:szCs w:val="28"/>
        </w:rPr>
        <w:t>投标行为评价得分，</w:t>
      </w:r>
      <w:r>
        <w:rPr>
          <w:rFonts w:ascii="Times New Roman" w:hAnsi="Times New Roman"/>
          <w:bCs/>
          <w:i/>
          <w:iCs/>
          <w:color w:val="000000"/>
          <w:sz w:val="28"/>
          <w:szCs w:val="28"/>
        </w:rPr>
        <w:t>L</w:t>
      </w:r>
      <w:r>
        <w:rPr>
          <w:rFonts w:ascii="Times New Roman" w:hAnsi="Times New Roman"/>
          <w:bCs/>
          <w:color w:val="000000"/>
          <w:sz w:val="28"/>
          <w:szCs w:val="28"/>
        </w:rPr>
        <w:t>为</w:t>
      </w:r>
      <w:r>
        <w:rPr>
          <w:rFonts w:ascii="Times New Roman" w:hAnsi="Times New Roman"/>
          <w:sz w:val="28"/>
          <w:szCs w:val="28"/>
        </w:rPr>
        <w:t>履职</w:t>
      </w:r>
      <w:r>
        <w:rPr>
          <w:rFonts w:ascii="Times New Roman" w:hAnsi="Times New Roman"/>
          <w:bCs/>
          <w:color w:val="000000"/>
          <w:sz w:val="28"/>
          <w:szCs w:val="28"/>
        </w:rPr>
        <w:t>履约行为评价得分，</w:t>
      </w:r>
      <w:r>
        <w:rPr>
          <w:rFonts w:ascii="Times New Roman" w:hAnsi="Times New Roman"/>
          <w:bCs/>
          <w:i/>
          <w:iCs/>
          <w:color w:val="000000"/>
          <w:sz w:val="28"/>
          <w:szCs w:val="28"/>
        </w:rPr>
        <w:t>Q</w:t>
      </w:r>
      <w:r>
        <w:rPr>
          <w:rFonts w:ascii="Times New Roman" w:hAnsi="Times New Roman"/>
          <w:bCs/>
          <w:i/>
          <w:iCs/>
          <w:color w:val="000000"/>
          <w:sz w:val="28"/>
          <w:szCs w:val="28"/>
          <w:vertAlign w:val="subscript"/>
        </w:rPr>
        <w:t>i</w:t>
      </w:r>
      <w:r>
        <w:rPr>
          <w:rFonts w:ascii="Times New Roman" w:hAnsi="Times New Roman"/>
          <w:bCs/>
          <w:color w:val="000000"/>
          <w:sz w:val="28"/>
          <w:szCs w:val="28"/>
        </w:rPr>
        <w:t>为其他行为对应扣分标准。</w:t>
      </w:r>
      <w:r>
        <w:rPr>
          <w:rFonts w:ascii="Times New Roman" w:hAnsi="Times New Roman"/>
          <w:sz w:val="28"/>
          <w:szCs w:val="28"/>
        </w:rPr>
        <w:t>总分</w:t>
      </w:r>
      <w:r>
        <w:rPr>
          <w:rFonts w:ascii="Times New Roman" w:hAnsi="Times New Roman"/>
          <w:i/>
          <w:iCs/>
          <w:sz w:val="28"/>
          <w:szCs w:val="28"/>
        </w:rPr>
        <w:t>X</w:t>
      </w:r>
      <w:r>
        <w:rPr>
          <w:rFonts w:ascii="Times New Roman" w:hAnsi="Times New Roman"/>
          <w:sz w:val="28"/>
          <w:szCs w:val="28"/>
        </w:rPr>
        <w:t>满分100分。</w:t>
      </w:r>
      <w:r>
        <w:rPr>
          <w:rFonts w:ascii="Times New Roman" w:hAnsi="Times New Roman"/>
          <w:bCs/>
          <w:i/>
          <w:iCs/>
          <w:color w:val="000000"/>
          <w:sz w:val="28"/>
          <w:szCs w:val="28"/>
        </w:rPr>
        <w:t>a、b</w:t>
      </w:r>
      <w:r>
        <w:rPr>
          <w:rFonts w:ascii="Times New Roman" w:hAnsi="Times New Roman"/>
          <w:bCs/>
          <w:color w:val="000000"/>
          <w:sz w:val="28"/>
          <w:szCs w:val="28"/>
        </w:rPr>
        <w:t>为评分系数，当评价周期内</w:t>
      </w:r>
      <w:r>
        <w:rPr>
          <w:rFonts w:ascii="Times New Roman" w:hAnsi="Times New Roman"/>
          <w:bCs/>
          <w:sz w:val="28"/>
          <w:szCs w:val="28"/>
        </w:rPr>
        <w:t>施工企业</w:t>
      </w:r>
      <w:r>
        <w:rPr>
          <w:rFonts w:ascii="Times New Roman" w:hAnsi="Times New Roman"/>
          <w:bCs/>
          <w:color w:val="000000"/>
          <w:sz w:val="28"/>
          <w:szCs w:val="28"/>
        </w:rPr>
        <w:t>在本省只存在投标行为评价时</w:t>
      </w:r>
      <w:r>
        <w:rPr>
          <w:rFonts w:ascii="Times New Roman" w:hAnsi="Times New Roman"/>
          <w:i/>
          <w:iCs/>
          <w:sz w:val="28"/>
          <w:szCs w:val="28"/>
        </w:rPr>
        <w:t>a</w:t>
      </w:r>
      <w:r>
        <w:rPr>
          <w:rFonts w:ascii="Times New Roman" w:hAnsi="Times New Roman"/>
          <w:bCs/>
          <w:i/>
          <w:iCs/>
          <w:color w:val="000000"/>
          <w:sz w:val="28"/>
          <w:szCs w:val="28"/>
        </w:rPr>
        <w:t>=1，</w:t>
      </w:r>
      <w:r>
        <w:rPr>
          <w:rFonts w:ascii="Times New Roman" w:hAnsi="Times New Roman"/>
          <w:i/>
          <w:iCs/>
          <w:sz w:val="28"/>
          <w:szCs w:val="28"/>
        </w:rPr>
        <w:t>b</w:t>
      </w:r>
      <w:r>
        <w:rPr>
          <w:rFonts w:ascii="Times New Roman" w:hAnsi="Times New Roman"/>
          <w:bCs/>
          <w:i/>
          <w:iCs/>
          <w:color w:val="000000"/>
          <w:sz w:val="28"/>
          <w:szCs w:val="28"/>
        </w:rPr>
        <w:t>=0</w:t>
      </w:r>
      <w:r>
        <w:rPr>
          <w:rFonts w:ascii="Times New Roman" w:hAnsi="Times New Roman"/>
          <w:bCs/>
          <w:color w:val="000000"/>
          <w:sz w:val="28"/>
          <w:szCs w:val="28"/>
        </w:rPr>
        <w:t>；当评价周期内</w:t>
      </w:r>
      <w:r>
        <w:rPr>
          <w:rFonts w:ascii="Times New Roman" w:hAnsi="Times New Roman"/>
          <w:bCs/>
          <w:sz w:val="28"/>
          <w:szCs w:val="28"/>
        </w:rPr>
        <w:t>施工企业</w:t>
      </w:r>
      <w:r>
        <w:rPr>
          <w:rFonts w:ascii="Times New Roman" w:hAnsi="Times New Roman"/>
          <w:bCs/>
          <w:color w:val="000000"/>
          <w:sz w:val="28"/>
          <w:szCs w:val="28"/>
        </w:rPr>
        <w:t>在本省只存在</w:t>
      </w:r>
      <w:r>
        <w:rPr>
          <w:rFonts w:ascii="Times New Roman" w:hAnsi="Times New Roman"/>
          <w:sz w:val="28"/>
          <w:szCs w:val="28"/>
        </w:rPr>
        <w:t>履职</w:t>
      </w:r>
      <w:r>
        <w:rPr>
          <w:rFonts w:ascii="Times New Roman" w:hAnsi="Times New Roman"/>
          <w:bCs/>
          <w:color w:val="000000"/>
          <w:sz w:val="28"/>
          <w:szCs w:val="28"/>
        </w:rPr>
        <w:t>履约行为评价时，</w:t>
      </w:r>
      <w:r>
        <w:rPr>
          <w:rFonts w:ascii="Times New Roman" w:hAnsi="Times New Roman"/>
          <w:i/>
          <w:iCs/>
          <w:sz w:val="28"/>
          <w:szCs w:val="28"/>
        </w:rPr>
        <w:t>a</w:t>
      </w:r>
      <w:r>
        <w:rPr>
          <w:rFonts w:ascii="Times New Roman" w:hAnsi="Times New Roman"/>
          <w:bCs/>
          <w:i/>
          <w:iCs/>
          <w:color w:val="000000"/>
          <w:sz w:val="28"/>
          <w:szCs w:val="28"/>
        </w:rPr>
        <w:t>=0，</w:t>
      </w:r>
      <w:r>
        <w:rPr>
          <w:rFonts w:ascii="Times New Roman" w:hAnsi="Times New Roman"/>
          <w:i/>
          <w:iCs/>
          <w:sz w:val="28"/>
          <w:szCs w:val="28"/>
        </w:rPr>
        <w:t>b</w:t>
      </w:r>
      <w:r>
        <w:rPr>
          <w:rFonts w:ascii="Times New Roman" w:hAnsi="Times New Roman"/>
          <w:bCs/>
          <w:i/>
          <w:iCs/>
          <w:color w:val="000000"/>
          <w:sz w:val="28"/>
          <w:szCs w:val="28"/>
        </w:rPr>
        <w:t>=1</w:t>
      </w:r>
      <w:r>
        <w:rPr>
          <w:rFonts w:ascii="Times New Roman" w:hAnsi="Times New Roman"/>
          <w:bCs/>
          <w:color w:val="000000"/>
          <w:sz w:val="28"/>
          <w:szCs w:val="28"/>
        </w:rPr>
        <w:t>；当</w:t>
      </w:r>
      <w:r>
        <w:rPr>
          <w:rFonts w:ascii="Times New Roman" w:hAnsi="Times New Roman"/>
          <w:bCs/>
          <w:sz w:val="28"/>
          <w:szCs w:val="28"/>
        </w:rPr>
        <w:t>施工企业</w:t>
      </w:r>
      <w:r>
        <w:rPr>
          <w:rFonts w:ascii="Times New Roman" w:hAnsi="Times New Roman"/>
          <w:bCs/>
          <w:color w:val="000000"/>
          <w:sz w:val="28"/>
          <w:szCs w:val="28"/>
        </w:rPr>
        <w:t>在本省同时存在投标行为评价和</w:t>
      </w:r>
      <w:r>
        <w:rPr>
          <w:rFonts w:ascii="Times New Roman" w:hAnsi="Times New Roman"/>
          <w:sz w:val="28"/>
          <w:szCs w:val="28"/>
        </w:rPr>
        <w:t>履职</w:t>
      </w:r>
      <w:r>
        <w:rPr>
          <w:rFonts w:ascii="Times New Roman" w:hAnsi="Times New Roman"/>
          <w:bCs/>
          <w:color w:val="000000"/>
          <w:sz w:val="28"/>
          <w:szCs w:val="28"/>
        </w:rPr>
        <w:t>履约行为评价时，</w:t>
      </w:r>
      <w:r>
        <w:rPr>
          <w:rFonts w:ascii="Times New Roman" w:hAnsi="Times New Roman"/>
          <w:i/>
          <w:iCs/>
          <w:sz w:val="28"/>
          <w:szCs w:val="28"/>
        </w:rPr>
        <w:t>a=0.2，b=0.8</w:t>
      </w:r>
      <w:r>
        <w:rPr>
          <w:rFonts w:ascii="Times New Roman" w:hAnsi="Times New Roman"/>
          <w:bCs/>
          <w:color w:val="000000"/>
          <w:sz w:val="28"/>
          <w:szCs w:val="28"/>
        </w:rPr>
        <w:t>）。</w:t>
      </w:r>
    </w:p>
    <w:p>
      <w:pPr>
        <w:spacing w:before="156" w:beforeLines="50" w:after="156" w:afterLines="50"/>
        <w:ind w:firstLine="420"/>
        <w:outlineLvl w:val="1"/>
        <w:rPr>
          <w:rFonts w:eastAsia="黑体"/>
          <w:sz w:val="32"/>
          <w:szCs w:val="28"/>
        </w:rPr>
      </w:pPr>
      <w:r>
        <w:rPr>
          <w:rFonts w:eastAsia="黑体"/>
          <w:sz w:val="32"/>
          <w:szCs w:val="28"/>
        </w:rPr>
        <w:t>三、信用评价标准表</w:t>
      </w:r>
    </w:p>
    <w:p>
      <w:pPr>
        <w:widowControl/>
        <w:ind w:firstLine="560" w:firstLineChars="200"/>
        <w:jc w:val="left"/>
        <w:rPr>
          <w:bCs/>
          <w:sz w:val="28"/>
          <w:szCs w:val="28"/>
        </w:rPr>
      </w:pPr>
      <w:r>
        <w:rPr>
          <w:bCs/>
          <w:sz w:val="28"/>
          <w:szCs w:val="28"/>
        </w:rPr>
        <w:t>甘肃省公路施工企业信用评价标准，分三个部分：投标行为、履职履约行为和其他行为，详见附表1~3。</w:t>
      </w:r>
    </w:p>
    <w:p>
      <w:pPr>
        <w:widowControl/>
        <w:ind w:firstLine="560" w:firstLineChars="200"/>
        <w:jc w:val="left"/>
        <w:rPr>
          <w:bCs/>
          <w:sz w:val="28"/>
          <w:szCs w:val="28"/>
        </w:rPr>
      </w:pPr>
    </w:p>
    <w:p>
      <w:pPr>
        <w:widowControl/>
        <w:ind w:firstLine="562" w:firstLineChars="200"/>
        <w:jc w:val="left"/>
        <w:rPr>
          <w:b/>
          <w:sz w:val="28"/>
          <w:szCs w:val="28"/>
        </w:rPr>
      </w:pPr>
      <w:r>
        <w:rPr>
          <w:b/>
          <w:sz w:val="28"/>
          <w:szCs w:val="28"/>
        </w:rPr>
        <w:t>附表1 甘肃省公路施工企业信用评价标准</w:t>
      </w:r>
      <w:bookmarkStart w:id="16" w:name="_Hlk78230579"/>
      <w:r>
        <w:rPr>
          <w:b/>
          <w:sz w:val="28"/>
          <w:szCs w:val="28"/>
        </w:rPr>
        <w:t>（投标行为）</w:t>
      </w:r>
      <w:bookmarkEnd w:id="16"/>
    </w:p>
    <w:p>
      <w:pPr>
        <w:widowControl/>
        <w:ind w:firstLine="562" w:firstLineChars="200"/>
        <w:jc w:val="left"/>
        <w:rPr>
          <w:b/>
          <w:sz w:val="28"/>
          <w:szCs w:val="28"/>
        </w:rPr>
      </w:pPr>
      <w:r>
        <w:rPr>
          <w:b/>
          <w:sz w:val="28"/>
          <w:szCs w:val="28"/>
        </w:rPr>
        <w:t>附表2 甘肃省公路施工企业信用评价标准（履约行为）</w:t>
      </w:r>
    </w:p>
    <w:p>
      <w:pPr>
        <w:widowControl/>
        <w:ind w:firstLine="562" w:firstLineChars="200"/>
        <w:jc w:val="left"/>
        <w:rPr>
          <w:b/>
          <w:sz w:val="28"/>
          <w:szCs w:val="28"/>
        </w:rPr>
      </w:pPr>
      <w:r>
        <w:rPr>
          <w:b/>
          <w:sz w:val="28"/>
          <w:szCs w:val="28"/>
        </w:rPr>
        <w:t>附表3 甘肃省公路施工企业信用评价标准（其他行为）</w:t>
      </w:r>
    </w:p>
    <w:p>
      <w:pPr>
        <w:widowControl/>
        <w:ind w:firstLine="560" w:firstLineChars="200"/>
        <w:jc w:val="left"/>
        <w:rPr>
          <w:bCs/>
          <w:sz w:val="28"/>
          <w:szCs w:val="28"/>
        </w:rPr>
      </w:pPr>
    </w:p>
    <w:p>
      <w:pPr>
        <w:widowControl/>
        <w:ind w:firstLine="560" w:firstLineChars="200"/>
        <w:jc w:val="left"/>
        <w:rPr>
          <w:bCs/>
          <w:sz w:val="28"/>
          <w:szCs w:val="28"/>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pPr>
        <w:spacing w:before="156" w:beforeLines="50" w:after="156" w:afterLines="50"/>
        <w:jc w:val="left"/>
        <w:outlineLvl w:val="2"/>
        <w:rPr>
          <w:rFonts w:eastAsia="黑体"/>
          <w:bCs/>
          <w:color w:val="000000"/>
          <w:kern w:val="0"/>
          <w:sz w:val="28"/>
          <w:szCs w:val="18"/>
        </w:rPr>
      </w:pPr>
      <w:r>
        <w:rPr>
          <w:rFonts w:eastAsia="黑体"/>
          <w:bCs/>
          <w:color w:val="000000"/>
          <w:kern w:val="0"/>
          <w:sz w:val="28"/>
          <w:szCs w:val="18"/>
        </w:rPr>
        <w:t>附表1</w:t>
      </w:r>
    </w:p>
    <w:p>
      <w:pPr>
        <w:spacing w:before="156" w:beforeLines="50" w:after="156" w:afterLines="50"/>
        <w:jc w:val="center"/>
        <w:outlineLvl w:val="2"/>
        <w:rPr>
          <w:b/>
          <w:sz w:val="28"/>
          <w:szCs w:val="28"/>
        </w:rPr>
      </w:pPr>
      <w:r>
        <w:rPr>
          <w:rFonts w:eastAsia="黑体"/>
          <w:bCs/>
          <w:color w:val="000000"/>
          <w:kern w:val="0"/>
          <w:sz w:val="32"/>
          <w:szCs w:val="20"/>
        </w:rPr>
        <w:t>甘肃省公路施工企业信用评价标准（投标行为）</w:t>
      </w:r>
    </w:p>
    <w:p>
      <w:pPr>
        <w:spacing w:line="360" w:lineRule="auto"/>
        <w:jc w:val="left"/>
        <w:rPr>
          <w:rFonts w:eastAsia="黑体"/>
          <w:bCs/>
          <w:sz w:val="24"/>
          <w:szCs w:val="28"/>
        </w:rPr>
      </w:pPr>
      <w:r>
        <w:rPr>
          <w:rFonts w:eastAsia="黑体"/>
          <w:bCs/>
          <w:sz w:val="24"/>
          <w:szCs w:val="28"/>
        </w:rPr>
        <w:t>投标行为（初始分值100分，扣完为止）行为代码GLSG1</w:t>
      </w:r>
    </w:p>
    <w:tbl>
      <w:tblPr>
        <w:tblStyle w:val="13"/>
        <w:tblW w:w="1435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119"/>
        <w:gridCol w:w="1276"/>
        <w:gridCol w:w="1134"/>
        <w:gridCol w:w="3119"/>
        <w:gridCol w:w="1559"/>
        <w:gridCol w:w="2268"/>
        <w:gridCol w:w="38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664" w:hRule="atLeast"/>
          <w:tblHeader/>
          <w:jc w:val="center"/>
        </w:trPr>
        <w:tc>
          <w:tcPr>
            <w:tcW w:w="1119" w:type="dxa"/>
            <w:tcMar>
              <w:left w:w="57" w:type="dxa"/>
              <w:right w:w="57" w:type="dxa"/>
            </w:tcMar>
            <w:vAlign w:val="center"/>
          </w:tcPr>
          <w:p>
            <w:pPr>
              <w:widowControl/>
              <w:jc w:val="center"/>
              <w:textAlignment w:val="center"/>
              <w:rPr>
                <w:b/>
                <w:color w:val="000000"/>
                <w:szCs w:val="21"/>
              </w:rPr>
            </w:pPr>
            <w:bookmarkStart w:id="17" w:name="_Hlk78230945"/>
            <w:r>
              <w:rPr>
                <w:rFonts w:eastAsia="黑体"/>
                <w:b/>
                <w:color w:val="000000"/>
                <w:kern w:val="0"/>
                <w:sz w:val="36"/>
                <w:szCs w:val="21"/>
              </w:rPr>
              <w:br w:type="page"/>
            </w:r>
            <w:r>
              <w:rPr>
                <w:b/>
                <w:color w:val="000000"/>
                <w:kern w:val="0"/>
                <w:szCs w:val="21"/>
              </w:rPr>
              <w:t>评定内容</w:t>
            </w:r>
          </w:p>
        </w:tc>
        <w:tc>
          <w:tcPr>
            <w:tcW w:w="1276" w:type="dxa"/>
            <w:tcMar>
              <w:left w:w="57" w:type="dxa"/>
              <w:right w:w="57" w:type="dxa"/>
            </w:tcMar>
            <w:vAlign w:val="center"/>
          </w:tcPr>
          <w:p>
            <w:pPr>
              <w:widowControl/>
              <w:jc w:val="center"/>
              <w:textAlignment w:val="center"/>
              <w:rPr>
                <w:b/>
                <w:color w:val="000000"/>
                <w:szCs w:val="21"/>
              </w:rPr>
            </w:pPr>
            <w:r>
              <w:rPr>
                <w:b/>
                <w:color w:val="000000"/>
                <w:kern w:val="0"/>
                <w:szCs w:val="21"/>
              </w:rPr>
              <w:t>行为代码</w:t>
            </w:r>
          </w:p>
        </w:tc>
        <w:tc>
          <w:tcPr>
            <w:tcW w:w="1134" w:type="dxa"/>
            <w:tcMar>
              <w:left w:w="57" w:type="dxa"/>
              <w:right w:w="57" w:type="dxa"/>
            </w:tcMar>
            <w:vAlign w:val="center"/>
          </w:tcPr>
          <w:p>
            <w:pPr>
              <w:widowControl/>
              <w:jc w:val="center"/>
              <w:textAlignment w:val="center"/>
              <w:rPr>
                <w:b/>
                <w:color w:val="000000"/>
                <w:szCs w:val="21"/>
              </w:rPr>
            </w:pPr>
            <w:r>
              <w:rPr>
                <w:b/>
                <w:color w:val="000000"/>
                <w:kern w:val="0"/>
                <w:szCs w:val="21"/>
              </w:rPr>
              <w:t>失信行为</w:t>
            </w:r>
          </w:p>
        </w:tc>
        <w:tc>
          <w:tcPr>
            <w:tcW w:w="3119" w:type="dxa"/>
            <w:tcMar>
              <w:left w:w="57" w:type="dxa"/>
              <w:right w:w="57" w:type="dxa"/>
            </w:tcMar>
            <w:vAlign w:val="center"/>
          </w:tcPr>
          <w:p>
            <w:pPr>
              <w:widowControl/>
              <w:jc w:val="center"/>
              <w:textAlignment w:val="center"/>
              <w:rPr>
                <w:b/>
                <w:color w:val="000000"/>
                <w:kern w:val="0"/>
                <w:szCs w:val="21"/>
              </w:rPr>
            </w:pPr>
            <w:r>
              <w:rPr>
                <w:b/>
                <w:color w:val="000000"/>
                <w:kern w:val="0"/>
                <w:szCs w:val="21"/>
              </w:rPr>
              <w:t>行为认定标准</w:t>
            </w:r>
          </w:p>
        </w:tc>
        <w:tc>
          <w:tcPr>
            <w:tcW w:w="1559" w:type="dxa"/>
            <w:tcMar>
              <w:left w:w="57" w:type="dxa"/>
              <w:right w:w="57" w:type="dxa"/>
            </w:tcMar>
            <w:vAlign w:val="center"/>
          </w:tcPr>
          <w:p>
            <w:pPr>
              <w:widowControl/>
              <w:jc w:val="center"/>
              <w:textAlignment w:val="center"/>
              <w:rPr>
                <w:b/>
                <w:color w:val="000000"/>
                <w:szCs w:val="21"/>
              </w:rPr>
            </w:pPr>
            <w:r>
              <w:rPr>
                <w:b/>
                <w:color w:val="000000"/>
                <w:kern w:val="0"/>
                <w:szCs w:val="21"/>
              </w:rPr>
              <w:t>行为等级和</w:t>
            </w:r>
            <w:r>
              <w:rPr>
                <w:rFonts w:hint="eastAsia"/>
                <w:b/>
                <w:color w:val="000000"/>
                <w:kern w:val="0"/>
                <w:szCs w:val="21"/>
              </w:rPr>
              <w:t xml:space="preserve"> </w:t>
            </w:r>
            <w:r>
              <w:rPr>
                <w:b/>
                <w:color w:val="000000"/>
                <w:kern w:val="0"/>
                <w:szCs w:val="21"/>
              </w:rPr>
              <w:t xml:space="preserve"> 扣分标准</w:t>
            </w:r>
          </w:p>
        </w:tc>
        <w:tc>
          <w:tcPr>
            <w:tcW w:w="2268" w:type="dxa"/>
            <w:tcMar>
              <w:left w:w="57" w:type="dxa"/>
              <w:right w:w="57" w:type="dxa"/>
            </w:tcMar>
            <w:vAlign w:val="center"/>
          </w:tcPr>
          <w:p>
            <w:pPr>
              <w:widowControl/>
              <w:jc w:val="center"/>
              <w:textAlignment w:val="center"/>
              <w:rPr>
                <w:b/>
                <w:color w:val="000000"/>
                <w:kern w:val="0"/>
                <w:szCs w:val="21"/>
              </w:rPr>
            </w:pPr>
            <w:r>
              <w:rPr>
                <w:b/>
                <w:color w:val="000000"/>
                <w:kern w:val="0"/>
                <w:szCs w:val="21"/>
              </w:rPr>
              <w:t>现场考核方式方法</w:t>
            </w:r>
          </w:p>
        </w:tc>
        <w:tc>
          <w:tcPr>
            <w:tcW w:w="3878" w:type="dxa"/>
            <w:tcMar>
              <w:left w:w="57" w:type="dxa"/>
              <w:right w:w="57" w:type="dxa"/>
            </w:tcMar>
            <w:vAlign w:val="center"/>
          </w:tcPr>
          <w:p>
            <w:pPr>
              <w:widowControl/>
              <w:jc w:val="center"/>
              <w:textAlignment w:val="center"/>
              <w:rPr>
                <w:b/>
                <w:color w:val="000000"/>
                <w:kern w:val="0"/>
                <w:szCs w:val="21"/>
              </w:rPr>
            </w:pPr>
            <w:r>
              <w:rPr>
                <w:b/>
                <w:color w:val="000000"/>
                <w:kern w:val="0"/>
                <w:szCs w:val="21"/>
              </w:rPr>
              <w:t>条文说明</w:t>
            </w:r>
          </w:p>
        </w:tc>
      </w:tr>
      <w:bookmarkEnd w:id="17"/>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restart"/>
            <w:tcMar>
              <w:left w:w="57" w:type="dxa"/>
              <w:right w:w="57" w:type="dxa"/>
            </w:tcMar>
            <w:vAlign w:val="center"/>
          </w:tcPr>
          <w:p>
            <w:pPr>
              <w:widowControl/>
              <w:adjustRightInd w:val="0"/>
              <w:jc w:val="center"/>
              <w:rPr>
                <w:b/>
                <w:bCs/>
                <w:sz w:val="22"/>
              </w:rPr>
            </w:pPr>
            <w:r>
              <w:rPr>
                <w:b/>
                <w:bCs/>
                <w:sz w:val="22"/>
              </w:rPr>
              <w:t>投标严重失信行为</w:t>
            </w:r>
          </w:p>
          <w:p>
            <w:pPr>
              <w:widowControl/>
              <w:adjustRightInd w:val="0"/>
              <w:jc w:val="center"/>
              <w:rPr>
                <w:b/>
                <w:bCs/>
                <w:sz w:val="22"/>
              </w:rPr>
            </w:pPr>
          </w:p>
          <w:p>
            <w:pPr>
              <w:widowControl/>
              <w:adjustRightInd w:val="0"/>
              <w:jc w:val="center"/>
              <w:rPr>
                <w:b/>
                <w:bCs/>
                <w:sz w:val="22"/>
              </w:rPr>
            </w:pPr>
            <w:r>
              <w:rPr>
                <w:b/>
                <w:bCs/>
                <w:sz w:val="22"/>
              </w:rPr>
              <w:t>GLSG1-1</w:t>
            </w: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GLSG1-1-1</w:t>
            </w:r>
          </w:p>
        </w:tc>
        <w:tc>
          <w:tcPr>
            <w:tcW w:w="1134" w:type="dxa"/>
            <w:tcMar>
              <w:left w:w="57" w:type="dxa"/>
              <w:right w:w="57" w:type="dxa"/>
            </w:tcMar>
            <w:vAlign w:val="center"/>
          </w:tcPr>
          <w:p>
            <w:pPr>
              <w:widowControl/>
              <w:jc w:val="center"/>
              <w:textAlignment w:val="center"/>
              <w:rPr>
                <w:color w:val="000000"/>
                <w:szCs w:val="21"/>
              </w:rPr>
            </w:pPr>
            <w:r>
              <w:rPr>
                <w:color w:val="000000"/>
                <w:kern w:val="0"/>
                <w:szCs w:val="21"/>
              </w:rPr>
              <w:t>超越资质</w:t>
            </w:r>
          </w:p>
        </w:tc>
        <w:tc>
          <w:tcPr>
            <w:tcW w:w="3119" w:type="dxa"/>
            <w:tcMar>
              <w:left w:w="57" w:type="dxa"/>
              <w:right w:w="57" w:type="dxa"/>
            </w:tcMar>
            <w:vAlign w:val="center"/>
          </w:tcPr>
          <w:p>
            <w:pPr>
              <w:widowControl/>
              <w:textAlignment w:val="center"/>
              <w:rPr>
                <w:color w:val="000000"/>
                <w:kern w:val="0"/>
                <w:szCs w:val="21"/>
              </w:rPr>
            </w:pPr>
            <w:r>
              <w:rPr>
                <w:color w:val="000000"/>
                <w:kern w:val="0"/>
                <w:szCs w:val="21"/>
              </w:rPr>
              <w:t>通过</w:t>
            </w:r>
            <w:r>
              <w:rPr>
                <w:szCs w:val="21"/>
              </w:rPr>
              <w:t>资质挂靠、借用其他单位资质证书等承揽工程</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2268" w:type="dxa"/>
            <w:tcMar>
              <w:left w:w="57" w:type="dxa"/>
              <w:right w:w="57" w:type="dxa"/>
            </w:tcMar>
            <w:vAlign w:val="center"/>
          </w:tcPr>
          <w:p>
            <w:pPr>
              <w:widowControl/>
              <w:jc w:val="center"/>
              <w:textAlignment w:val="center"/>
              <w:rPr>
                <w:color w:val="000000"/>
                <w:kern w:val="0"/>
                <w:szCs w:val="21"/>
              </w:rPr>
            </w:pPr>
            <w:r>
              <w:rPr>
                <w:kern w:val="0"/>
                <w:szCs w:val="21"/>
              </w:rPr>
              <w:t>调查施工方承揽工程是否在其资质许可范围内</w:t>
            </w:r>
          </w:p>
        </w:tc>
        <w:tc>
          <w:tcPr>
            <w:tcW w:w="3878" w:type="dxa"/>
            <w:tcMar>
              <w:left w:w="57" w:type="dxa"/>
              <w:right w:w="57" w:type="dxa"/>
            </w:tcMar>
            <w:vAlign w:val="center"/>
          </w:tcPr>
          <w:p>
            <w:pPr>
              <w:widowControl/>
              <w:jc w:val="left"/>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GLSG1-1-2</w:t>
            </w:r>
          </w:p>
        </w:tc>
        <w:tc>
          <w:tcPr>
            <w:tcW w:w="1134" w:type="dxa"/>
            <w:tcMar>
              <w:left w:w="57" w:type="dxa"/>
              <w:right w:w="57" w:type="dxa"/>
            </w:tcMar>
            <w:vAlign w:val="center"/>
          </w:tcPr>
          <w:p>
            <w:pPr>
              <w:widowControl/>
              <w:jc w:val="center"/>
              <w:textAlignment w:val="center"/>
              <w:rPr>
                <w:color w:val="000000"/>
                <w:szCs w:val="21"/>
              </w:rPr>
            </w:pPr>
            <w:r>
              <w:rPr>
                <w:color w:val="000000"/>
                <w:kern w:val="0"/>
                <w:szCs w:val="21"/>
              </w:rPr>
              <w:t>出借资质</w:t>
            </w:r>
          </w:p>
        </w:tc>
        <w:tc>
          <w:tcPr>
            <w:tcW w:w="3119" w:type="dxa"/>
            <w:tcMar>
              <w:left w:w="57" w:type="dxa"/>
              <w:right w:w="57" w:type="dxa"/>
            </w:tcMar>
            <w:vAlign w:val="center"/>
          </w:tcPr>
          <w:p>
            <w:pPr>
              <w:widowControl/>
              <w:rPr>
                <w:kern w:val="0"/>
                <w:szCs w:val="21"/>
              </w:rPr>
            </w:pPr>
            <w:r>
              <w:rPr>
                <w:color w:val="000000"/>
                <w:kern w:val="0"/>
                <w:szCs w:val="21"/>
              </w:rPr>
              <w:t>允许其他单位或个人以本单位名义承揽工程</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2268" w:type="dxa"/>
            <w:tcMar>
              <w:left w:w="57" w:type="dxa"/>
              <w:right w:w="57" w:type="dxa"/>
            </w:tcMar>
            <w:vAlign w:val="center"/>
          </w:tcPr>
          <w:p>
            <w:pPr>
              <w:widowControl/>
              <w:jc w:val="center"/>
              <w:rPr>
                <w:color w:val="000000"/>
                <w:kern w:val="0"/>
                <w:szCs w:val="21"/>
              </w:rPr>
            </w:pPr>
            <w:r>
              <w:rPr>
                <w:kern w:val="0"/>
                <w:szCs w:val="21"/>
              </w:rPr>
              <w:t>调查施工方资质是否属于中标单位</w:t>
            </w:r>
          </w:p>
        </w:tc>
        <w:tc>
          <w:tcPr>
            <w:tcW w:w="3878" w:type="dxa"/>
            <w:tcMar>
              <w:left w:w="57" w:type="dxa"/>
              <w:right w:w="57" w:type="dxa"/>
            </w:tcMar>
            <w:vAlign w:val="center"/>
          </w:tcPr>
          <w:p>
            <w:pPr>
              <w:widowControl/>
              <w:jc w:val="left"/>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GLSG1-1-3</w:t>
            </w:r>
          </w:p>
        </w:tc>
        <w:tc>
          <w:tcPr>
            <w:tcW w:w="1134" w:type="dxa"/>
            <w:tcMar>
              <w:left w:w="57" w:type="dxa"/>
              <w:right w:w="57" w:type="dxa"/>
            </w:tcMar>
            <w:vAlign w:val="center"/>
          </w:tcPr>
          <w:p>
            <w:pPr>
              <w:widowControl/>
              <w:jc w:val="center"/>
              <w:textAlignment w:val="center"/>
              <w:rPr>
                <w:color w:val="000000"/>
                <w:szCs w:val="21"/>
              </w:rPr>
            </w:pPr>
            <w:r>
              <w:rPr>
                <w:color w:val="000000"/>
                <w:kern w:val="0"/>
                <w:szCs w:val="21"/>
              </w:rPr>
              <w:t>串通投标</w:t>
            </w:r>
          </w:p>
        </w:tc>
        <w:tc>
          <w:tcPr>
            <w:tcW w:w="3119" w:type="dxa"/>
            <w:tcMar>
              <w:left w:w="57" w:type="dxa"/>
              <w:right w:w="57" w:type="dxa"/>
            </w:tcMar>
            <w:vAlign w:val="center"/>
          </w:tcPr>
          <w:p>
            <w:pPr>
              <w:widowControl/>
              <w:rPr>
                <w:kern w:val="0"/>
                <w:szCs w:val="21"/>
              </w:rPr>
            </w:pPr>
            <w:r>
              <w:rPr>
                <w:szCs w:val="21"/>
              </w:rPr>
              <w:t>投标人相互串通投标或者与招标人串通投标</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2268" w:type="dxa"/>
            <w:tcMar>
              <w:left w:w="57" w:type="dxa"/>
              <w:right w:w="57" w:type="dxa"/>
            </w:tcMar>
            <w:vAlign w:val="center"/>
          </w:tcPr>
          <w:p>
            <w:pPr>
              <w:widowControl/>
              <w:jc w:val="center"/>
              <w:rPr>
                <w:color w:val="000000"/>
                <w:kern w:val="0"/>
                <w:szCs w:val="21"/>
              </w:rPr>
            </w:pPr>
            <w:r>
              <w:rPr>
                <w:kern w:val="0"/>
                <w:szCs w:val="21"/>
              </w:rPr>
              <w:t>调查了解施工方是否存在串标行为</w:t>
            </w:r>
          </w:p>
        </w:tc>
        <w:tc>
          <w:tcPr>
            <w:tcW w:w="3878" w:type="dxa"/>
            <w:tcMar>
              <w:left w:w="57" w:type="dxa"/>
              <w:right w:w="57" w:type="dxa"/>
            </w:tcMar>
            <w:vAlign w:val="center"/>
          </w:tcPr>
          <w:p>
            <w:pPr>
              <w:widowControl/>
              <w:jc w:val="left"/>
              <w:textAlignment w:val="center"/>
              <w:rPr>
                <w:color w:val="000000"/>
                <w:kern w:val="0"/>
                <w:szCs w:val="21"/>
              </w:rPr>
            </w:pPr>
            <w:r>
              <w:rPr>
                <w:color w:val="000000"/>
                <w:kern w:val="0"/>
                <w:szCs w:val="21"/>
              </w:rPr>
              <w:t>调查了解投标人是否存在属于《招标投标法实施条例》第五十三条、第六十七条规定的情节严重的串标行为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GLSG1-1-4</w:t>
            </w:r>
          </w:p>
        </w:tc>
        <w:tc>
          <w:tcPr>
            <w:tcW w:w="1134" w:type="dxa"/>
            <w:tcMar>
              <w:left w:w="57" w:type="dxa"/>
              <w:right w:w="57" w:type="dxa"/>
            </w:tcMar>
            <w:vAlign w:val="center"/>
          </w:tcPr>
          <w:p>
            <w:pPr>
              <w:widowControl/>
              <w:jc w:val="center"/>
              <w:textAlignment w:val="center"/>
              <w:rPr>
                <w:color w:val="000000"/>
                <w:szCs w:val="21"/>
              </w:rPr>
            </w:pPr>
            <w:r>
              <w:rPr>
                <w:color w:val="000000"/>
                <w:kern w:val="0"/>
                <w:szCs w:val="21"/>
              </w:rPr>
              <w:t>投标行贿</w:t>
            </w:r>
          </w:p>
        </w:tc>
        <w:tc>
          <w:tcPr>
            <w:tcW w:w="3119" w:type="dxa"/>
            <w:tcMar>
              <w:left w:w="57" w:type="dxa"/>
              <w:right w:w="57" w:type="dxa"/>
            </w:tcMar>
            <w:vAlign w:val="center"/>
          </w:tcPr>
          <w:p>
            <w:pPr>
              <w:widowControl/>
              <w:textAlignment w:val="center"/>
              <w:rPr>
                <w:color w:val="000000"/>
                <w:szCs w:val="21"/>
              </w:rPr>
            </w:pPr>
            <w:r>
              <w:rPr>
                <w:color w:val="000000"/>
                <w:kern w:val="0"/>
                <w:szCs w:val="21"/>
              </w:rPr>
              <w:t>投标人以向招标人或者评标委员会成员行贿的手段谋取中标</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2268" w:type="dxa"/>
            <w:tcMar>
              <w:left w:w="57" w:type="dxa"/>
              <w:right w:w="57" w:type="dxa"/>
            </w:tcMar>
            <w:vAlign w:val="center"/>
          </w:tcPr>
          <w:p>
            <w:pPr>
              <w:widowControl/>
              <w:jc w:val="center"/>
              <w:textAlignment w:val="center"/>
              <w:rPr>
                <w:color w:val="000000"/>
                <w:kern w:val="0"/>
                <w:szCs w:val="21"/>
              </w:rPr>
            </w:pPr>
            <w:r>
              <w:rPr>
                <w:kern w:val="0"/>
                <w:szCs w:val="21"/>
              </w:rPr>
              <w:t>调查了解施工方是否存在行贿行为</w:t>
            </w:r>
          </w:p>
        </w:tc>
        <w:tc>
          <w:tcPr>
            <w:tcW w:w="3878" w:type="dxa"/>
            <w:tcMar>
              <w:left w:w="57" w:type="dxa"/>
              <w:right w:w="57" w:type="dxa"/>
            </w:tcMar>
            <w:vAlign w:val="center"/>
          </w:tcPr>
          <w:p>
            <w:pPr>
              <w:widowControl/>
              <w:jc w:val="left"/>
              <w:textAlignment w:val="center"/>
              <w:rPr>
                <w:color w:val="000000"/>
                <w:kern w:val="0"/>
                <w:szCs w:val="21"/>
              </w:rPr>
            </w:pPr>
            <w:r>
              <w:rPr>
                <w:color w:val="000000"/>
                <w:kern w:val="0"/>
                <w:szCs w:val="21"/>
              </w:rPr>
              <w:t>调查了解投标人是否存在属于《招标投标法实施条例》第五十三条、第六十七条规定的情节严重的投标行贿行为。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GLSG1-1-5</w:t>
            </w:r>
          </w:p>
        </w:tc>
        <w:tc>
          <w:tcPr>
            <w:tcW w:w="1134" w:type="dxa"/>
            <w:tcMar>
              <w:left w:w="57" w:type="dxa"/>
              <w:right w:w="57" w:type="dxa"/>
            </w:tcMar>
            <w:vAlign w:val="center"/>
          </w:tcPr>
          <w:p>
            <w:pPr>
              <w:widowControl/>
              <w:jc w:val="center"/>
              <w:textAlignment w:val="bottom"/>
              <w:rPr>
                <w:color w:val="000000"/>
                <w:szCs w:val="21"/>
              </w:rPr>
            </w:pPr>
            <w:r>
              <w:rPr>
                <w:color w:val="000000"/>
                <w:szCs w:val="21"/>
              </w:rPr>
              <w:t>违规投标</w:t>
            </w:r>
          </w:p>
        </w:tc>
        <w:tc>
          <w:tcPr>
            <w:tcW w:w="3119" w:type="dxa"/>
            <w:tcMar>
              <w:left w:w="57" w:type="dxa"/>
              <w:right w:w="57" w:type="dxa"/>
            </w:tcMar>
            <w:vAlign w:val="center"/>
          </w:tcPr>
          <w:p>
            <w:pPr>
              <w:widowControl/>
              <w:rPr>
                <w:color w:val="000000"/>
                <w:kern w:val="0"/>
                <w:szCs w:val="21"/>
              </w:rPr>
            </w:pPr>
            <w:r>
              <w:rPr>
                <w:color w:val="000000"/>
                <w:kern w:val="0"/>
                <w:szCs w:val="21"/>
              </w:rPr>
              <w:t>因违反法律、法规、规章被禁止投标后，在禁止期内仍参与投标</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D级延期半年/次</w:t>
            </w:r>
          </w:p>
        </w:tc>
        <w:tc>
          <w:tcPr>
            <w:tcW w:w="2268" w:type="dxa"/>
            <w:tcMar>
              <w:left w:w="57" w:type="dxa"/>
              <w:right w:w="57" w:type="dxa"/>
            </w:tcMar>
            <w:vAlign w:val="center"/>
          </w:tcPr>
          <w:p>
            <w:pPr>
              <w:widowControl/>
              <w:jc w:val="center"/>
              <w:rPr>
                <w:color w:val="000000"/>
                <w:kern w:val="0"/>
                <w:szCs w:val="21"/>
              </w:rPr>
            </w:pPr>
            <w:r>
              <w:rPr>
                <w:kern w:val="0"/>
                <w:szCs w:val="21"/>
              </w:rPr>
              <w:t>调查</w:t>
            </w:r>
            <w:r>
              <w:rPr>
                <w:color w:val="000000"/>
                <w:kern w:val="0"/>
                <w:szCs w:val="21"/>
              </w:rPr>
              <w:t>禁止投标期内是否有投标行为</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Borders>
              <w:bottom w:val="single" w:color="auto" w:sz="4" w:space="0"/>
            </w:tcBorders>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kern w:val="0"/>
                <w:szCs w:val="21"/>
              </w:rPr>
            </w:pPr>
            <w:r>
              <w:rPr>
                <w:color w:val="000000"/>
                <w:kern w:val="0"/>
                <w:szCs w:val="21"/>
              </w:rPr>
              <w:t>GLSG1-1-6</w:t>
            </w:r>
          </w:p>
        </w:tc>
        <w:tc>
          <w:tcPr>
            <w:tcW w:w="1134" w:type="dxa"/>
            <w:tcMar>
              <w:left w:w="57" w:type="dxa"/>
              <w:right w:w="57" w:type="dxa"/>
            </w:tcMar>
            <w:vAlign w:val="center"/>
          </w:tcPr>
          <w:p>
            <w:pPr>
              <w:widowControl/>
              <w:jc w:val="center"/>
              <w:textAlignment w:val="bottom"/>
              <w:rPr>
                <w:color w:val="000000"/>
                <w:szCs w:val="21"/>
              </w:rPr>
            </w:pPr>
            <w:r>
              <w:rPr>
                <w:color w:val="000000"/>
                <w:kern w:val="0"/>
                <w:szCs w:val="21"/>
              </w:rPr>
              <w:t>虚假投诉举报</w:t>
            </w:r>
          </w:p>
        </w:tc>
        <w:tc>
          <w:tcPr>
            <w:tcW w:w="3119" w:type="dxa"/>
            <w:tcMar>
              <w:left w:w="57" w:type="dxa"/>
              <w:right w:w="57" w:type="dxa"/>
            </w:tcMar>
            <w:vAlign w:val="center"/>
          </w:tcPr>
          <w:p>
            <w:pPr>
              <w:widowControl/>
              <w:rPr>
                <w:color w:val="000000"/>
                <w:kern w:val="0"/>
                <w:szCs w:val="21"/>
              </w:rPr>
            </w:pPr>
            <w:r>
              <w:rPr>
                <w:color w:val="000000"/>
                <w:kern w:val="0"/>
                <w:szCs w:val="21"/>
              </w:rPr>
              <w:t>故意捏造事实、仿造证明材料，虚假恶意投诉的违法违规行为</w:t>
            </w:r>
          </w:p>
        </w:tc>
        <w:tc>
          <w:tcPr>
            <w:tcW w:w="1559" w:type="dxa"/>
            <w:tcMar>
              <w:left w:w="57" w:type="dxa"/>
              <w:right w:w="57" w:type="dxa"/>
            </w:tcMar>
            <w:vAlign w:val="center"/>
          </w:tcPr>
          <w:p>
            <w:pPr>
              <w:widowControl/>
              <w:jc w:val="center"/>
              <w:textAlignment w:val="center"/>
              <w:rPr>
                <w:color w:val="000000"/>
                <w:kern w:val="0"/>
                <w:szCs w:val="21"/>
              </w:rPr>
            </w:pPr>
            <w:r>
              <w:rPr>
                <w:color w:val="000000"/>
                <w:kern w:val="0"/>
                <w:szCs w:val="21"/>
              </w:rPr>
              <w:t>直接定为D级</w:t>
            </w:r>
          </w:p>
        </w:tc>
        <w:tc>
          <w:tcPr>
            <w:tcW w:w="2268" w:type="dxa"/>
            <w:tcMar>
              <w:left w:w="57" w:type="dxa"/>
              <w:right w:w="57" w:type="dxa"/>
            </w:tcMar>
            <w:vAlign w:val="center"/>
          </w:tcPr>
          <w:p>
            <w:pPr>
              <w:widowControl/>
              <w:jc w:val="center"/>
              <w:rPr>
                <w:kern w:val="0"/>
                <w:szCs w:val="21"/>
              </w:rPr>
            </w:pPr>
            <w:r>
              <w:rPr>
                <w:color w:val="000000"/>
                <w:kern w:val="0"/>
                <w:szCs w:val="21"/>
              </w:rPr>
              <w:t>调查是否存在虚假投诉举报行为</w:t>
            </w:r>
          </w:p>
        </w:tc>
        <w:tc>
          <w:tcPr>
            <w:tcW w:w="3878" w:type="dxa"/>
            <w:tcMar>
              <w:left w:w="57" w:type="dxa"/>
              <w:right w:w="57" w:type="dxa"/>
            </w:tcMar>
            <w:vAlign w:val="center"/>
          </w:tcPr>
          <w:p>
            <w:pPr>
              <w:widowControl/>
              <w:jc w:val="center"/>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tcBorders>
              <w:bottom w:val="single" w:color="auto" w:sz="4" w:space="0"/>
            </w:tcBorders>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kern w:val="0"/>
                <w:szCs w:val="21"/>
              </w:rPr>
            </w:pPr>
            <w:r>
              <w:rPr>
                <w:color w:val="000000"/>
                <w:kern w:val="0"/>
                <w:szCs w:val="21"/>
              </w:rPr>
              <w:t>GLSG1-1-7</w:t>
            </w:r>
          </w:p>
        </w:tc>
        <w:tc>
          <w:tcPr>
            <w:tcW w:w="1134" w:type="dxa"/>
            <w:tcMar>
              <w:left w:w="57" w:type="dxa"/>
              <w:right w:w="57" w:type="dxa"/>
            </w:tcMar>
            <w:vAlign w:val="center"/>
          </w:tcPr>
          <w:p>
            <w:pPr>
              <w:widowControl/>
              <w:jc w:val="center"/>
              <w:textAlignment w:val="bottom"/>
              <w:rPr>
                <w:color w:val="000000"/>
                <w:szCs w:val="21"/>
              </w:rPr>
            </w:pPr>
            <w:r>
              <w:rPr>
                <w:color w:val="000000"/>
                <w:kern w:val="0"/>
                <w:szCs w:val="21"/>
              </w:rPr>
              <w:t>虚假材料中标</w:t>
            </w:r>
          </w:p>
        </w:tc>
        <w:tc>
          <w:tcPr>
            <w:tcW w:w="3119" w:type="dxa"/>
            <w:tcMar>
              <w:left w:w="57" w:type="dxa"/>
              <w:right w:w="57" w:type="dxa"/>
            </w:tcMar>
            <w:vAlign w:val="center"/>
          </w:tcPr>
          <w:p>
            <w:pPr>
              <w:widowControl/>
              <w:rPr>
                <w:color w:val="000000"/>
                <w:kern w:val="0"/>
                <w:szCs w:val="21"/>
              </w:rPr>
            </w:pPr>
            <w:r>
              <w:rPr>
                <w:color w:val="000000"/>
                <w:kern w:val="0"/>
                <w:szCs w:val="21"/>
              </w:rPr>
              <w:t>1.资审材料或投标文件虚假骗取中标资格的</w:t>
            </w:r>
          </w:p>
          <w:p>
            <w:pPr>
              <w:widowControl/>
              <w:rPr>
                <w:color w:val="000000"/>
                <w:kern w:val="0"/>
                <w:szCs w:val="21"/>
              </w:rPr>
            </w:pPr>
            <w:r>
              <w:rPr>
                <w:color w:val="000000"/>
                <w:kern w:val="0"/>
                <w:szCs w:val="21"/>
              </w:rPr>
              <w:t>2.以其他违法形式骗取中标资格的</w:t>
            </w:r>
          </w:p>
        </w:tc>
        <w:tc>
          <w:tcPr>
            <w:tcW w:w="1559" w:type="dxa"/>
            <w:tcMar>
              <w:left w:w="57" w:type="dxa"/>
              <w:right w:w="57" w:type="dxa"/>
            </w:tcMar>
            <w:vAlign w:val="center"/>
          </w:tcPr>
          <w:p>
            <w:pPr>
              <w:widowControl/>
              <w:jc w:val="center"/>
              <w:textAlignment w:val="center"/>
              <w:rPr>
                <w:color w:val="000000"/>
                <w:kern w:val="0"/>
                <w:szCs w:val="21"/>
              </w:rPr>
            </w:pPr>
            <w:r>
              <w:rPr>
                <w:color w:val="000000"/>
                <w:kern w:val="0"/>
                <w:szCs w:val="21"/>
              </w:rPr>
              <w:t>直接定为D级</w:t>
            </w:r>
          </w:p>
        </w:tc>
        <w:tc>
          <w:tcPr>
            <w:tcW w:w="2268" w:type="dxa"/>
            <w:tcMar>
              <w:left w:w="57" w:type="dxa"/>
              <w:right w:w="57" w:type="dxa"/>
            </w:tcMar>
            <w:vAlign w:val="center"/>
          </w:tcPr>
          <w:p>
            <w:pPr>
              <w:widowControl/>
              <w:jc w:val="center"/>
              <w:rPr>
                <w:kern w:val="0"/>
                <w:szCs w:val="21"/>
              </w:rPr>
            </w:pPr>
            <w:r>
              <w:rPr>
                <w:kern w:val="0"/>
                <w:szCs w:val="21"/>
              </w:rPr>
              <w:t>调查了解投标人是否存在属于《招标投标法实施条例》第五十三条、第六十七条规定的情节严重行为</w:t>
            </w:r>
          </w:p>
        </w:tc>
        <w:tc>
          <w:tcPr>
            <w:tcW w:w="3878" w:type="dxa"/>
            <w:tcMar>
              <w:left w:w="57" w:type="dxa"/>
              <w:right w:w="57" w:type="dxa"/>
            </w:tcMar>
            <w:vAlign w:val="center"/>
          </w:tcPr>
          <w:p>
            <w:pPr>
              <w:widowControl/>
              <w:jc w:val="left"/>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restart"/>
            <w:tcMar>
              <w:left w:w="57" w:type="dxa"/>
              <w:right w:w="57" w:type="dxa"/>
            </w:tcMar>
            <w:vAlign w:val="center"/>
          </w:tcPr>
          <w:p>
            <w:pPr>
              <w:widowControl/>
              <w:adjustRightInd w:val="0"/>
              <w:jc w:val="center"/>
              <w:rPr>
                <w:b/>
                <w:bCs/>
                <w:sz w:val="22"/>
              </w:rPr>
            </w:pPr>
            <w:r>
              <w:rPr>
                <w:b/>
                <w:bCs/>
                <w:sz w:val="22"/>
              </w:rPr>
              <w:t>投标其他失信行为</w:t>
            </w:r>
          </w:p>
          <w:p>
            <w:pPr>
              <w:widowControl/>
              <w:adjustRightInd w:val="0"/>
              <w:jc w:val="center"/>
              <w:rPr>
                <w:b/>
                <w:bCs/>
                <w:sz w:val="22"/>
              </w:rPr>
            </w:pPr>
            <w:r>
              <w:rPr>
                <w:b/>
                <w:bCs/>
                <w:sz w:val="22"/>
              </w:rPr>
              <w:t>(100分)</w:t>
            </w:r>
          </w:p>
          <w:p>
            <w:pPr>
              <w:widowControl/>
              <w:adjustRightInd w:val="0"/>
              <w:jc w:val="center"/>
              <w:rPr>
                <w:sz w:val="22"/>
              </w:rPr>
            </w:pPr>
          </w:p>
          <w:p>
            <w:pPr>
              <w:widowControl/>
              <w:adjustRightInd w:val="0"/>
              <w:jc w:val="center"/>
              <w:rPr>
                <w:b/>
                <w:bCs/>
                <w:sz w:val="22"/>
              </w:rPr>
            </w:pPr>
            <w:r>
              <w:rPr>
                <w:b/>
                <w:bCs/>
                <w:sz w:val="22"/>
              </w:rPr>
              <w:t>GLSG1-2</w:t>
            </w: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GLSG1-2-1</w:t>
            </w:r>
          </w:p>
        </w:tc>
        <w:tc>
          <w:tcPr>
            <w:tcW w:w="1134" w:type="dxa"/>
            <w:tcMar>
              <w:left w:w="57" w:type="dxa"/>
              <w:right w:w="57" w:type="dxa"/>
            </w:tcMar>
            <w:vAlign w:val="center"/>
          </w:tcPr>
          <w:p>
            <w:pPr>
              <w:widowControl/>
              <w:jc w:val="center"/>
              <w:textAlignment w:val="center"/>
              <w:rPr>
                <w:color w:val="000000"/>
                <w:szCs w:val="21"/>
              </w:rPr>
            </w:pPr>
            <w:r>
              <w:rPr>
                <w:color w:val="000000"/>
                <w:kern w:val="0"/>
                <w:szCs w:val="21"/>
              </w:rPr>
              <w:t>虚假材料未中标</w:t>
            </w:r>
          </w:p>
        </w:tc>
        <w:tc>
          <w:tcPr>
            <w:tcW w:w="3119" w:type="dxa"/>
            <w:tcMar>
              <w:left w:w="57" w:type="dxa"/>
              <w:right w:w="57" w:type="dxa"/>
            </w:tcMar>
            <w:vAlign w:val="center"/>
          </w:tcPr>
          <w:p>
            <w:pPr>
              <w:widowControl/>
              <w:textAlignment w:val="center"/>
              <w:rPr>
                <w:color w:val="000000"/>
                <w:kern w:val="0"/>
                <w:szCs w:val="21"/>
              </w:rPr>
            </w:pPr>
            <w:r>
              <w:rPr>
                <w:color w:val="000000"/>
                <w:kern w:val="0"/>
                <w:szCs w:val="21"/>
              </w:rPr>
              <w:t>1.资审材料或投标文件虚假骗取中标资格未中标的</w:t>
            </w:r>
          </w:p>
          <w:p>
            <w:pPr>
              <w:widowControl/>
              <w:textAlignment w:val="center"/>
              <w:rPr>
                <w:color w:val="000000"/>
                <w:kern w:val="0"/>
                <w:szCs w:val="21"/>
              </w:rPr>
            </w:pPr>
            <w:r>
              <w:rPr>
                <w:color w:val="000000"/>
                <w:kern w:val="0"/>
                <w:szCs w:val="21"/>
              </w:rPr>
              <w:t>2.以其他违法形式骗取中标资格但未中标的</w:t>
            </w:r>
          </w:p>
        </w:tc>
        <w:tc>
          <w:tcPr>
            <w:tcW w:w="1559" w:type="dxa"/>
            <w:tcMar>
              <w:left w:w="57" w:type="dxa"/>
              <w:right w:w="57" w:type="dxa"/>
            </w:tcMar>
            <w:vAlign w:val="center"/>
          </w:tcPr>
          <w:p>
            <w:pPr>
              <w:widowControl/>
              <w:jc w:val="center"/>
              <w:textAlignment w:val="center"/>
              <w:rPr>
                <w:color w:val="000000"/>
                <w:kern w:val="0"/>
                <w:szCs w:val="21"/>
              </w:rPr>
            </w:pPr>
            <w:r>
              <w:rPr>
                <w:color w:val="000000"/>
                <w:kern w:val="0"/>
                <w:szCs w:val="21"/>
              </w:rPr>
              <w:t>30分/次</w:t>
            </w:r>
          </w:p>
        </w:tc>
        <w:tc>
          <w:tcPr>
            <w:tcW w:w="2268" w:type="dxa"/>
            <w:tcMar>
              <w:left w:w="57" w:type="dxa"/>
              <w:right w:w="57" w:type="dxa"/>
            </w:tcMar>
            <w:vAlign w:val="center"/>
          </w:tcPr>
          <w:p>
            <w:pPr>
              <w:widowControl/>
              <w:jc w:val="center"/>
              <w:textAlignment w:val="center"/>
              <w:rPr>
                <w:color w:val="000000"/>
                <w:kern w:val="0"/>
                <w:szCs w:val="21"/>
              </w:rPr>
            </w:pPr>
            <w:r>
              <w:rPr>
                <w:kern w:val="0"/>
                <w:szCs w:val="21"/>
              </w:rPr>
              <w:t>调查是否存在使用虚假材料未中标的行为</w:t>
            </w:r>
          </w:p>
        </w:tc>
        <w:tc>
          <w:tcPr>
            <w:tcW w:w="3878" w:type="dxa"/>
            <w:tcMar>
              <w:left w:w="57" w:type="dxa"/>
              <w:right w:w="57" w:type="dxa"/>
            </w:tcMar>
            <w:vAlign w:val="center"/>
          </w:tcPr>
          <w:p>
            <w:pPr>
              <w:widowControl/>
              <w:jc w:val="center"/>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Borders>
              <w:top w:val="single" w:color="auto" w:sz="4" w:space="0"/>
            </w:tcBorders>
            <w:tcMar>
              <w:left w:w="57" w:type="dxa"/>
              <w:right w:w="57" w:type="dxa"/>
            </w:tcMar>
            <w:vAlign w:val="center"/>
          </w:tcPr>
          <w:p>
            <w:pPr>
              <w:jc w:val="center"/>
              <w:rPr>
                <w:color w:val="000000"/>
                <w:szCs w:val="21"/>
              </w:rPr>
            </w:pPr>
          </w:p>
        </w:tc>
        <w:tc>
          <w:tcPr>
            <w:tcW w:w="1276" w:type="dxa"/>
            <w:tcBorders>
              <w:top w:val="single" w:color="auto" w:sz="4" w:space="0"/>
            </w:tcBorders>
            <w:tcMar>
              <w:left w:w="57" w:type="dxa"/>
              <w:right w:w="57" w:type="dxa"/>
            </w:tcMar>
            <w:vAlign w:val="center"/>
          </w:tcPr>
          <w:p>
            <w:pPr>
              <w:widowControl/>
              <w:jc w:val="center"/>
              <w:textAlignment w:val="center"/>
              <w:rPr>
                <w:color w:val="000000"/>
                <w:szCs w:val="21"/>
              </w:rPr>
            </w:pPr>
            <w:r>
              <w:rPr>
                <w:color w:val="000000"/>
                <w:kern w:val="0"/>
                <w:szCs w:val="21"/>
              </w:rPr>
              <w:t>GLSG1-2-2</w:t>
            </w:r>
          </w:p>
        </w:tc>
        <w:tc>
          <w:tcPr>
            <w:tcW w:w="1134" w:type="dxa"/>
            <w:tcMar>
              <w:left w:w="57" w:type="dxa"/>
              <w:right w:w="57" w:type="dxa"/>
            </w:tcMar>
            <w:vAlign w:val="center"/>
          </w:tcPr>
          <w:p>
            <w:pPr>
              <w:widowControl/>
              <w:jc w:val="center"/>
              <w:textAlignment w:val="center"/>
              <w:rPr>
                <w:color w:val="000000"/>
                <w:szCs w:val="21"/>
              </w:rPr>
            </w:pPr>
            <w:r>
              <w:rPr>
                <w:color w:val="000000"/>
                <w:szCs w:val="21"/>
              </w:rPr>
              <w:t>放弃中标</w:t>
            </w:r>
          </w:p>
        </w:tc>
        <w:tc>
          <w:tcPr>
            <w:tcW w:w="3119" w:type="dxa"/>
            <w:tcMar>
              <w:left w:w="57" w:type="dxa"/>
              <w:right w:w="57" w:type="dxa"/>
            </w:tcMar>
            <w:vAlign w:val="center"/>
          </w:tcPr>
          <w:p>
            <w:pPr>
              <w:widowControl/>
              <w:textAlignment w:val="center"/>
              <w:rPr>
                <w:color w:val="000000"/>
                <w:kern w:val="0"/>
                <w:szCs w:val="21"/>
              </w:rPr>
            </w:pPr>
            <w:r>
              <w:rPr>
                <w:color w:val="000000"/>
                <w:kern w:val="0"/>
                <w:szCs w:val="21"/>
              </w:rPr>
              <w:t>中标后无正当理由放弃中标（经核实确因评标时间过长，材料价格上涨过快造成成本价发生较大变化的除外）</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20分/次</w:t>
            </w:r>
          </w:p>
        </w:tc>
        <w:tc>
          <w:tcPr>
            <w:tcW w:w="2268" w:type="dxa"/>
            <w:tcMar>
              <w:left w:w="57" w:type="dxa"/>
              <w:right w:w="57" w:type="dxa"/>
            </w:tcMar>
            <w:vAlign w:val="center"/>
          </w:tcPr>
          <w:p>
            <w:pPr>
              <w:widowControl/>
              <w:jc w:val="center"/>
              <w:textAlignment w:val="center"/>
              <w:rPr>
                <w:color w:val="000000"/>
                <w:kern w:val="0"/>
                <w:szCs w:val="21"/>
              </w:rPr>
            </w:pPr>
            <w:r>
              <w:rPr>
                <w:color w:val="000000"/>
                <w:kern w:val="0"/>
                <w:szCs w:val="21"/>
              </w:rPr>
              <w:t>调研放弃中标原因</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GLSG1-2-3</w:t>
            </w:r>
          </w:p>
        </w:tc>
        <w:tc>
          <w:tcPr>
            <w:tcW w:w="1134" w:type="dxa"/>
            <w:tcMar>
              <w:left w:w="57" w:type="dxa"/>
              <w:right w:w="57" w:type="dxa"/>
            </w:tcMar>
            <w:vAlign w:val="center"/>
          </w:tcPr>
          <w:p>
            <w:pPr>
              <w:widowControl/>
              <w:jc w:val="center"/>
              <w:textAlignment w:val="center"/>
              <w:rPr>
                <w:color w:val="000000"/>
                <w:szCs w:val="21"/>
              </w:rPr>
            </w:pPr>
            <w:r>
              <w:rPr>
                <w:color w:val="000000"/>
                <w:szCs w:val="21"/>
              </w:rPr>
              <w:t>放弃中标且未告知</w:t>
            </w:r>
          </w:p>
        </w:tc>
        <w:tc>
          <w:tcPr>
            <w:tcW w:w="3119" w:type="dxa"/>
            <w:tcMar>
              <w:left w:w="57" w:type="dxa"/>
              <w:right w:w="57" w:type="dxa"/>
            </w:tcMar>
            <w:vAlign w:val="center"/>
          </w:tcPr>
          <w:p>
            <w:pPr>
              <w:widowControl/>
              <w:textAlignment w:val="center"/>
              <w:rPr>
                <w:color w:val="000000"/>
                <w:kern w:val="0"/>
                <w:szCs w:val="21"/>
              </w:rPr>
            </w:pPr>
            <w:r>
              <w:rPr>
                <w:color w:val="000000"/>
                <w:kern w:val="0"/>
                <w:szCs w:val="21"/>
              </w:rPr>
              <w:t>非招标人或招标文件原因放弃投标，未提前书面告知招标人</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中标后放弃30分/次，中标前放弃20分/次</w:t>
            </w:r>
          </w:p>
        </w:tc>
        <w:tc>
          <w:tcPr>
            <w:tcW w:w="2268" w:type="dxa"/>
            <w:tcMar>
              <w:left w:w="57" w:type="dxa"/>
              <w:right w:w="57" w:type="dxa"/>
            </w:tcMar>
            <w:vAlign w:val="center"/>
          </w:tcPr>
          <w:p>
            <w:pPr>
              <w:widowControl/>
              <w:jc w:val="center"/>
              <w:textAlignment w:val="center"/>
              <w:rPr>
                <w:color w:val="000000"/>
                <w:kern w:val="0"/>
                <w:szCs w:val="21"/>
              </w:rPr>
            </w:pPr>
            <w:r>
              <w:rPr>
                <w:color w:val="000000"/>
                <w:kern w:val="0"/>
                <w:szCs w:val="21"/>
              </w:rPr>
              <w:t>调查放弃中标原因，未告知原因</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GLSG1-2-4</w:t>
            </w:r>
          </w:p>
        </w:tc>
        <w:tc>
          <w:tcPr>
            <w:tcW w:w="1134" w:type="dxa"/>
            <w:tcMar>
              <w:left w:w="57" w:type="dxa"/>
              <w:right w:w="57" w:type="dxa"/>
            </w:tcMar>
            <w:vAlign w:val="center"/>
          </w:tcPr>
          <w:p>
            <w:pPr>
              <w:widowControl/>
              <w:jc w:val="center"/>
              <w:textAlignment w:val="center"/>
              <w:rPr>
                <w:color w:val="000000"/>
                <w:szCs w:val="21"/>
              </w:rPr>
            </w:pPr>
            <w:r>
              <w:rPr>
                <w:color w:val="000000"/>
                <w:szCs w:val="21"/>
              </w:rPr>
              <w:t>无故拖延合同</w:t>
            </w:r>
          </w:p>
        </w:tc>
        <w:tc>
          <w:tcPr>
            <w:tcW w:w="3119" w:type="dxa"/>
            <w:tcMar>
              <w:left w:w="57" w:type="dxa"/>
              <w:right w:w="57" w:type="dxa"/>
            </w:tcMar>
            <w:vAlign w:val="center"/>
          </w:tcPr>
          <w:p>
            <w:pPr>
              <w:widowControl/>
              <w:textAlignment w:val="center"/>
              <w:rPr>
                <w:color w:val="000000"/>
                <w:kern w:val="0"/>
                <w:szCs w:val="21"/>
              </w:rPr>
            </w:pPr>
            <w:r>
              <w:rPr>
                <w:color w:val="000000"/>
                <w:kern w:val="0"/>
                <w:szCs w:val="21"/>
              </w:rPr>
              <w:t>无正当理由拖延合同签订时间</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20分/次</w:t>
            </w:r>
          </w:p>
        </w:tc>
        <w:tc>
          <w:tcPr>
            <w:tcW w:w="2268" w:type="dxa"/>
            <w:tcMar>
              <w:left w:w="57" w:type="dxa"/>
              <w:right w:w="57" w:type="dxa"/>
            </w:tcMar>
            <w:vAlign w:val="center"/>
          </w:tcPr>
          <w:p>
            <w:pPr>
              <w:widowControl/>
              <w:jc w:val="center"/>
              <w:textAlignment w:val="center"/>
              <w:rPr>
                <w:color w:val="000000"/>
                <w:kern w:val="0"/>
                <w:szCs w:val="21"/>
              </w:rPr>
            </w:pPr>
            <w:r>
              <w:rPr>
                <w:color w:val="000000"/>
                <w:kern w:val="0"/>
                <w:szCs w:val="21"/>
              </w:rPr>
              <w:t>调查无正当理由拖延合同</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shd w:val="clear" w:color="auto" w:fill="auto"/>
            <w:tcMar>
              <w:left w:w="57" w:type="dxa"/>
              <w:right w:w="57" w:type="dxa"/>
            </w:tcMar>
            <w:vAlign w:val="center"/>
          </w:tcPr>
          <w:p>
            <w:pPr>
              <w:widowControl/>
              <w:jc w:val="center"/>
              <w:textAlignment w:val="center"/>
              <w:rPr>
                <w:color w:val="000000"/>
                <w:kern w:val="0"/>
                <w:szCs w:val="21"/>
              </w:rPr>
            </w:pPr>
            <w:r>
              <w:rPr>
                <w:rFonts w:eastAsia="黑体"/>
                <w:sz w:val="22"/>
              </w:rPr>
              <w:t>GLSG1-2-5</w:t>
            </w:r>
          </w:p>
        </w:tc>
        <w:tc>
          <w:tcPr>
            <w:tcW w:w="1134" w:type="dxa"/>
            <w:tcMar>
              <w:left w:w="57" w:type="dxa"/>
              <w:right w:w="57" w:type="dxa"/>
            </w:tcMar>
            <w:vAlign w:val="center"/>
          </w:tcPr>
          <w:p>
            <w:pPr>
              <w:widowControl/>
              <w:jc w:val="center"/>
              <w:textAlignment w:val="center"/>
              <w:rPr>
                <w:color w:val="000000"/>
                <w:szCs w:val="21"/>
              </w:rPr>
            </w:pPr>
            <w:r>
              <w:rPr>
                <w:sz w:val="22"/>
              </w:rPr>
              <w:t>未按时确认招标人通知</w:t>
            </w:r>
          </w:p>
        </w:tc>
        <w:tc>
          <w:tcPr>
            <w:tcW w:w="3119" w:type="dxa"/>
            <w:shd w:val="clear" w:color="auto" w:fill="auto"/>
            <w:tcMar>
              <w:left w:w="57" w:type="dxa"/>
              <w:right w:w="57" w:type="dxa"/>
            </w:tcMar>
            <w:vAlign w:val="center"/>
          </w:tcPr>
          <w:p>
            <w:pPr>
              <w:widowControl/>
              <w:textAlignment w:val="center"/>
              <w:rPr>
                <w:color w:val="000000"/>
                <w:kern w:val="0"/>
                <w:szCs w:val="21"/>
              </w:rPr>
            </w:pPr>
            <w:r>
              <w:rPr>
                <w:sz w:val="22"/>
              </w:rPr>
              <w:t>未按时确认补遗书等招标人发出的通知</w:t>
            </w:r>
          </w:p>
        </w:tc>
        <w:tc>
          <w:tcPr>
            <w:tcW w:w="1559" w:type="dxa"/>
            <w:tcMar>
              <w:left w:w="57" w:type="dxa"/>
              <w:right w:w="57" w:type="dxa"/>
            </w:tcMar>
            <w:vAlign w:val="center"/>
          </w:tcPr>
          <w:p>
            <w:pPr>
              <w:widowControl/>
              <w:jc w:val="center"/>
              <w:textAlignment w:val="center"/>
              <w:rPr>
                <w:color w:val="000000"/>
                <w:kern w:val="0"/>
                <w:szCs w:val="21"/>
              </w:rPr>
            </w:pPr>
            <w:r>
              <w:rPr>
                <w:sz w:val="22"/>
              </w:rPr>
              <w:t>2分/次</w:t>
            </w:r>
          </w:p>
        </w:tc>
        <w:tc>
          <w:tcPr>
            <w:tcW w:w="2268" w:type="dxa"/>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调查确认</w:t>
            </w:r>
            <w:r>
              <w:rPr>
                <w:sz w:val="22"/>
              </w:rPr>
              <w:t>时间</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shd w:val="clear" w:color="auto" w:fill="auto"/>
            <w:tcMar>
              <w:left w:w="57" w:type="dxa"/>
              <w:right w:w="57" w:type="dxa"/>
            </w:tcMar>
            <w:vAlign w:val="center"/>
          </w:tcPr>
          <w:p>
            <w:pPr>
              <w:widowControl/>
              <w:jc w:val="center"/>
              <w:textAlignment w:val="center"/>
              <w:rPr>
                <w:color w:val="000000"/>
                <w:kern w:val="0"/>
                <w:szCs w:val="21"/>
              </w:rPr>
            </w:pPr>
            <w:r>
              <w:rPr>
                <w:rFonts w:eastAsia="黑体"/>
                <w:sz w:val="22"/>
              </w:rPr>
              <w:t>GLSG1-2-6</w:t>
            </w:r>
          </w:p>
        </w:tc>
        <w:tc>
          <w:tcPr>
            <w:tcW w:w="1134" w:type="dxa"/>
            <w:tcMar>
              <w:left w:w="57" w:type="dxa"/>
              <w:right w:w="57" w:type="dxa"/>
            </w:tcMar>
            <w:vAlign w:val="center"/>
          </w:tcPr>
          <w:p>
            <w:pPr>
              <w:widowControl/>
              <w:jc w:val="center"/>
              <w:textAlignment w:val="center"/>
              <w:rPr>
                <w:color w:val="000000"/>
                <w:szCs w:val="21"/>
              </w:rPr>
            </w:pPr>
            <w:r>
              <w:rPr>
                <w:sz w:val="22"/>
              </w:rPr>
              <w:t>行贿谋取中标的</w:t>
            </w:r>
          </w:p>
        </w:tc>
        <w:tc>
          <w:tcPr>
            <w:tcW w:w="3119" w:type="dxa"/>
            <w:shd w:val="clear" w:color="auto" w:fill="auto"/>
            <w:tcMar>
              <w:left w:w="57" w:type="dxa"/>
              <w:right w:w="57" w:type="dxa"/>
            </w:tcMar>
            <w:vAlign w:val="center"/>
          </w:tcPr>
          <w:p>
            <w:pPr>
              <w:widowControl/>
              <w:textAlignment w:val="center"/>
              <w:rPr>
                <w:color w:val="000000"/>
                <w:kern w:val="0"/>
                <w:szCs w:val="21"/>
              </w:rPr>
            </w:pPr>
            <w:r>
              <w:rPr>
                <w:sz w:val="22"/>
              </w:rPr>
              <w:t>投标人以向招标人或者评标委员会成员行贿谋取中标的</w:t>
            </w:r>
          </w:p>
        </w:tc>
        <w:tc>
          <w:tcPr>
            <w:tcW w:w="1559" w:type="dxa"/>
            <w:tcMar>
              <w:left w:w="57" w:type="dxa"/>
              <w:right w:w="57" w:type="dxa"/>
            </w:tcMar>
            <w:vAlign w:val="center"/>
          </w:tcPr>
          <w:p>
            <w:pPr>
              <w:widowControl/>
              <w:jc w:val="center"/>
              <w:textAlignment w:val="center"/>
              <w:rPr>
                <w:color w:val="000000"/>
                <w:kern w:val="0"/>
                <w:szCs w:val="21"/>
              </w:rPr>
            </w:pPr>
            <w:r>
              <w:rPr>
                <w:sz w:val="22"/>
              </w:rPr>
              <w:t>10分/次</w:t>
            </w:r>
          </w:p>
        </w:tc>
        <w:tc>
          <w:tcPr>
            <w:tcW w:w="2268" w:type="dxa"/>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调查是否存在</w:t>
            </w:r>
            <w:r>
              <w:rPr>
                <w:sz w:val="22"/>
              </w:rPr>
              <w:t>行贿行为</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1119" w:type="dxa"/>
            <w:vMerge w:val="continue"/>
            <w:tcMar>
              <w:left w:w="57" w:type="dxa"/>
              <w:right w:w="57" w:type="dxa"/>
            </w:tcMar>
            <w:vAlign w:val="center"/>
          </w:tcPr>
          <w:p>
            <w:pPr>
              <w:jc w:val="center"/>
              <w:rPr>
                <w:color w:val="000000"/>
                <w:szCs w:val="21"/>
              </w:rPr>
            </w:pPr>
          </w:p>
        </w:tc>
        <w:tc>
          <w:tcPr>
            <w:tcW w:w="1276" w:type="dxa"/>
            <w:shd w:val="clear" w:color="auto" w:fill="auto"/>
            <w:tcMar>
              <w:left w:w="57" w:type="dxa"/>
              <w:right w:w="57" w:type="dxa"/>
            </w:tcMar>
            <w:vAlign w:val="center"/>
          </w:tcPr>
          <w:p>
            <w:pPr>
              <w:widowControl/>
              <w:jc w:val="center"/>
              <w:textAlignment w:val="center"/>
              <w:rPr>
                <w:color w:val="000000"/>
                <w:kern w:val="0"/>
                <w:szCs w:val="21"/>
              </w:rPr>
            </w:pPr>
            <w:r>
              <w:rPr>
                <w:rFonts w:eastAsia="黑体"/>
                <w:sz w:val="22"/>
              </w:rPr>
              <w:t>GLSG1-2-7</w:t>
            </w:r>
          </w:p>
        </w:tc>
        <w:tc>
          <w:tcPr>
            <w:tcW w:w="1134" w:type="dxa"/>
            <w:tcMar>
              <w:left w:w="57" w:type="dxa"/>
              <w:right w:w="57" w:type="dxa"/>
            </w:tcMar>
            <w:vAlign w:val="center"/>
          </w:tcPr>
          <w:p>
            <w:pPr>
              <w:widowControl/>
              <w:jc w:val="center"/>
              <w:textAlignment w:val="center"/>
              <w:rPr>
                <w:color w:val="000000"/>
                <w:szCs w:val="21"/>
              </w:rPr>
            </w:pPr>
            <w:r>
              <w:rPr>
                <w:sz w:val="22"/>
              </w:rPr>
              <w:t>提交履约保证金</w:t>
            </w:r>
          </w:p>
        </w:tc>
        <w:tc>
          <w:tcPr>
            <w:tcW w:w="3119" w:type="dxa"/>
            <w:shd w:val="clear" w:color="auto" w:fill="auto"/>
            <w:tcMar>
              <w:left w:w="57" w:type="dxa"/>
              <w:right w:w="57" w:type="dxa"/>
            </w:tcMar>
            <w:vAlign w:val="center"/>
          </w:tcPr>
          <w:p>
            <w:pPr>
              <w:widowControl/>
              <w:textAlignment w:val="center"/>
              <w:rPr>
                <w:color w:val="000000"/>
                <w:kern w:val="0"/>
                <w:szCs w:val="21"/>
              </w:rPr>
            </w:pPr>
            <w:r>
              <w:rPr>
                <w:sz w:val="22"/>
              </w:rPr>
              <w:t>中标人拒不按照招标文件要求提交履约保证金</w:t>
            </w:r>
          </w:p>
        </w:tc>
        <w:tc>
          <w:tcPr>
            <w:tcW w:w="1559" w:type="dxa"/>
            <w:tcMar>
              <w:left w:w="57" w:type="dxa"/>
              <w:right w:w="57" w:type="dxa"/>
            </w:tcMar>
            <w:vAlign w:val="center"/>
          </w:tcPr>
          <w:p>
            <w:pPr>
              <w:widowControl/>
              <w:jc w:val="center"/>
              <w:textAlignment w:val="center"/>
              <w:rPr>
                <w:color w:val="000000"/>
                <w:kern w:val="0"/>
                <w:szCs w:val="21"/>
              </w:rPr>
            </w:pPr>
            <w:r>
              <w:rPr>
                <w:sz w:val="22"/>
              </w:rPr>
              <w:t>10分/次</w:t>
            </w:r>
          </w:p>
        </w:tc>
        <w:tc>
          <w:tcPr>
            <w:tcW w:w="2268" w:type="dxa"/>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调查是否</w:t>
            </w:r>
            <w:r>
              <w:rPr>
                <w:sz w:val="22"/>
              </w:rPr>
              <w:t>提交履约保证金</w:t>
            </w:r>
          </w:p>
        </w:tc>
        <w:tc>
          <w:tcPr>
            <w:tcW w:w="3878" w:type="dxa"/>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677" w:hRule="atLeast"/>
          <w:jc w:val="center"/>
        </w:trPr>
        <w:tc>
          <w:tcPr>
            <w:tcW w:w="1119" w:type="dxa"/>
            <w:vMerge w:val="continue"/>
            <w:tcMar>
              <w:left w:w="57" w:type="dxa"/>
              <w:right w:w="57" w:type="dxa"/>
            </w:tcMar>
            <w:vAlign w:val="center"/>
          </w:tcPr>
          <w:p>
            <w:pPr>
              <w:jc w:val="center"/>
              <w:rPr>
                <w:color w:val="000000"/>
                <w:szCs w:val="21"/>
              </w:rPr>
            </w:pPr>
          </w:p>
        </w:tc>
        <w:tc>
          <w:tcPr>
            <w:tcW w:w="1276" w:type="dxa"/>
            <w:tcMar>
              <w:left w:w="57" w:type="dxa"/>
              <w:right w:w="57" w:type="dxa"/>
            </w:tcMar>
            <w:vAlign w:val="center"/>
          </w:tcPr>
          <w:p>
            <w:pPr>
              <w:widowControl/>
              <w:jc w:val="center"/>
              <w:textAlignment w:val="center"/>
              <w:rPr>
                <w:color w:val="000000"/>
                <w:szCs w:val="21"/>
              </w:rPr>
            </w:pPr>
            <w:r>
              <w:rPr>
                <w:color w:val="000000"/>
                <w:kern w:val="0"/>
                <w:szCs w:val="21"/>
              </w:rPr>
              <w:t>GLSG1-2-8</w:t>
            </w:r>
          </w:p>
        </w:tc>
        <w:tc>
          <w:tcPr>
            <w:tcW w:w="1134" w:type="dxa"/>
            <w:tcMar>
              <w:left w:w="57" w:type="dxa"/>
              <w:right w:w="57" w:type="dxa"/>
            </w:tcMar>
            <w:vAlign w:val="center"/>
          </w:tcPr>
          <w:p>
            <w:pPr>
              <w:widowControl/>
              <w:jc w:val="center"/>
              <w:textAlignment w:val="center"/>
              <w:rPr>
                <w:color w:val="000000"/>
                <w:szCs w:val="21"/>
              </w:rPr>
            </w:pPr>
            <w:r>
              <w:rPr>
                <w:color w:val="000000"/>
                <w:szCs w:val="21"/>
              </w:rPr>
              <w:t>其他投标失信行为</w:t>
            </w:r>
          </w:p>
        </w:tc>
        <w:tc>
          <w:tcPr>
            <w:tcW w:w="3119" w:type="dxa"/>
            <w:shd w:val="clear" w:color="auto" w:fill="FFFFFF"/>
            <w:tcMar>
              <w:left w:w="57" w:type="dxa"/>
              <w:right w:w="57" w:type="dxa"/>
            </w:tcMar>
            <w:vAlign w:val="center"/>
          </w:tcPr>
          <w:p>
            <w:pPr>
              <w:widowControl/>
              <w:textAlignment w:val="center"/>
              <w:rPr>
                <w:color w:val="000000"/>
                <w:kern w:val="0"/>
                <w:szCs w:val="21"/>
              </w:rPr>
            </w:pPr>
            <w:r>
              <w:rPr>
                <w:color w:val="000000"/>
                <w:kern w:val="0"/>
                <w:szCs w:val="21"/>
              </w:rPr>
              <w:t>其他被认为失信的投标行为。交通运输主管部门或招标人根据实际情况可增加，但不能超过本细则最高分标准</w:t>
            </w:r>
          </w:p>
        </w:tc>
        <w:tc>
          <w:tcPr>
            <w:tcW w:w="1559" w:type="dxa"/>
            <w:tcMar>
              <w:left w:w="57" w:type="dxa"/>
              <w:right w:w="57" w:type="dxa"/>
            </w:tcMar>
            <w:vAlign w:val="center"/>
          </w:tcPr>
          <w:p>
            <w:pPr>
              <w:widowControl/>
              <w:jc w:val="center"/>
              <w:textAlignment w:val="center"/>
              <w:rPr>
                <w:color w:val="000000"/>
                <w:szCs w:val="21"/>
              </w:rPr>
            </w:pPr>
            <w:r>
              <w:rPr>
                <w:color w:val="000000"/>
                <w:kern w:val="0"/>
                <w:szCs w:val="21"/>
              </w:rPr>
              <w:t>15-20分</w:t>
            </w:r>
          </w:p>
        </w:tc>
        <w:tc>
          <w:tcPr>
            <w:tcW w:w="2268" w:type="dxa"/>
            <w:tcMar>
              <w:left w:w="57" w:type="dxa"/>
              <w:right w:w="57" w:type="dxa"/>
            </w:tcMar>
            <w:vAlign w:val="center"/>
          </w:tcPr>
          <w:p>
            <w:pPr>
              <w:widowControl/>
              <w:jc w:val="center"/>
              <w:textAlignment w:val="center"/>
              <w:rPr>
                <w:color w:val="000000"/>
                <w:kern w:val="0"/>
                <w:szCs w:val="21"/>
              </w:rPr>
            </w:pPr>
            <w:r>
              <w:rPr>
                <w:color w:val="000000"/>
                <w:kern w:val="0"/>
                <w:szCs w:val="21"/>
              </w:rPr>
              <w:t>调查核对是否存在其他失信投标行为</w:t>
            </w:r>
          </w:p>
        </w:tc>
        <w:tc>
          <w:tcPr>
            <w:tcW w:w="3878" w:type="dxa"/>
            <w:tcMar>
              <w:left w:w="57" w:type="dxa"/>
              <w:right w:w="57" w:type="dxa"/>
            </w:tcMar>
            <w:vAlign w:val="center"/>
          </w:tcPr>
          <w:p>
            <w:pPr>
              <w:widowControl/>
              <w:jc w:val="center"/>
              <w:textAlignment w:val="center"/>
              <w:rPr>
                <w:color w:val="000000"/>
                <w:kern w:val="0"/>
                <w:szCs w:val="21"/>
              </w:rPr>
            </w:pPr>
          </w:p>
        </w:tc>
      </w:tr>
    </w:tbl>
    <w:p/>
    <w:p>
      <w:pPr>
        <w:widowControl/>
        <w:jc w:val="left"/>
      </w:pPr>
      <w:r>
        <w:br w:type="page"/>
      </w:r>
    </w:p>
    <w:p>
      <w:pPr>
        <w:spacing w:before="156" w:beforeLines="50" w:after="156" w:afterLines="50"/>
        <w:jc w:val="left"/>
        <w:outlineLvl w:val="2"/>
        <w:rPr>
          <w:rFonts w:eastAsia="黑体"/>
          <w:bCs/>
          <w:color w:val="000000"/>
          <w:kern w:val="0"/>
          <w:sz w:val="28"/>
          <w:szCs w:val="18"/>
        </w:rPr>
      </w:pPr>
      <w:r>
        <w:rPr>
          <w:rFonts w:eastAsia="黑体"/>
          <w:bCs/>
          <w:color w:val="000000"/>
          <w:kern w:val="0"/>
          <w:sz w:val="28"/>
          <w:szCs w:val="18"/>
        </w:rPr>
        <w:t>附表2</w:t>
      </w:r>
    </w:p>
    <w:p>
      <w:pPr>
        <w:spacing w:before="156" w:beforeLines="50" w:after="156" w:afterLines="50"/>
        <w:jc w:val="center"/>
        <w:outlineLvl w:val="2"/>
        <w:rPr>
          <w:rFonts w:eastAsia="黑体"/>
          <w:bCs/>
          <w:color w:val="000000"/>
          <w:kern w:val="0"/>
          <w:sz w:val="32"/>
          <w:szCs w:val="20"/>
        </w:rPr>
      </w:pPr>
      <w:r>
        <w:rPr>
          <w:rFonts w:eastAsia="黑体"/>
          <w:bCs/>
          <w:color w:val="000000"/>
          <w:kern w:val="0"/>
          <w:sz w:val="32"/>
          <w:szCs w:val="20"/>
        </w:rPr>
        <w:t>甘肃省公路施工企业信用评价标准（履职履约行为）</w:t>
      </w:r>
    </w:p>
    <w:p>
      <w:pPr>
        <w:spacing w:line="360" w:lineRule="auto"/>
        <w:jc w:val="left"/>
        <w:rPr>
          <w:rFonts w:eastAsia="黑体"/>
          <w:bCs/>
          <w:sz w:val="24"/>
          <w:szCs w:val="28"/>
        </w:rPr>
      </w:pPr>
      <w:r>
        <w:rPr>
          <w:rFonts w:eastAsia="黑体"/>
          <w:bCs/>
          <w:sz w:val="24"/>
          <w:szCs w:val="28"/>
        </w:rPr>
        <w:t>履职履约行为（初始分值100分，扣完为止）行为代码GLSG2</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1021"/>
        <w:gridCol w:w="1334"/>
        <w:gridCol w:w="1776"/>
        <w:gridCol w:w="3873"/>
        <w:gridCol w:w="1289"/>
        <w:gridCol w:w="2865"/>
        <w:gridCol w:w="191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664" w:hRule="atLeast"/>
          <w:tblHeader/>
          <w:jc w:val="center"/>
        </w:trPr>
        <w:tc>
          <w:tcPr>
            <w:tcW w:w="363" w:type="pct"/>
            <w:tcMar>
              <w:left w:w="57" w:type="dxa"/>
              <w:right w:w="57" w:type="dxa"/>
            </w:tcMar>
            <w:vAlign w:val="center"/>
          </w:tcPr>
          <w:p>
            <w:pPr>
              <w:widowControl/>
              <w:jc w:val="center"/>
              <w:textAlignment w:val="center"/>
              <w:rPr>
                <w:b/>
                <w:color w:val="000000"/>
                <w:szCs w:val="21"/>
              </w:rPr>
            </w:pPr>
            <w:bookmarkStart w:id="18" w:name="_Hlk78298939"/>
            <w:r>
              <w:rPr>
                <w:rFonts w:eastAsia="黑体"/>
                <w:b/>
                <w:color w:val="000000"/>
                <w:kern w:val="0"/>
                <w:sz w:val="36"/>
                <w:szCs w:val="21"/>
              </w:rPr>
              <w:br w:type="page"/>
            </w:r>
            <w:r>
              <w:rPr>
                <w:b/>
                <w:color w:val="000000"/>
                <w:kern w:val="0"/>
                <w:szCs w:val="21"/>
              </w:rPr>
              <w:t>评定内容</w:t>
            </w:r>
          </w:p>
        </w:tc>
        <w:tc>
          <w:tcPr>
            <w:tcW w:w="474" w:type="pct"/>
            <w:tcMar>
              <w:left w:w="57" w:type="dxa"/>
              <w:right w:w="57" w:type="dxa"/>
            </w:tcMar>
            <w:vAlign w:val="center"/>
          </w:tcPr>
          <w:p>
            <w:pPr>
              <w:widowControl/>
              <w:jc w:val="center"/>
              <w:textAlignment w:val="center"/>
              <w:rPr>
                <w:b/>
                <w:color w:val="000000"/>
                <w:szCs w:val="21"/>
              </w:rPr>
            </w:pPr>
            <w:r>
              <w:rPr>
                <w:b/>
                <w:color w:val="000000"/>
                <w:kern w:val="0"/>
                <w:szCs w:val="21"/>
              </w:rPr>
              <w:t>行为代码</w:t>
            </w:r>
          </w:p>
        </w:tc>
        <w:tc>
          <w:tcPr>
            <w:tcW w:w="631" w:type="pct"/>
            <w:tcMar>
              <w:left w:w="57" w:type="dxa"/>
              <w:right w:w="57" w:type="dxa"/>
            </w:tcMar>
            <w:vAlign w:val="center"/>
          </w:tcPr>
          <w:p>
            <w:pPr>
              <w:widowControl/>
              <w:jc w:val="center"/>
              <w:textAlignment w:val="center"/>
              <w:rPr>
                <w:b/>
                <w:color w:val="000000"/>
                <w:szCs w:val="21"/>
              </w:rPr>
            </w:pPr>
            <w:r>
              <w:rPr>
                <w:b/>
                <w:color w:val="000000"/>
                <w:kern w:val="0"/>
                <w:szCs w:val="21"/>
              </w:rPr>
              <w:t>失信行为</w:t>
            </w:r>
          </w:p>
        </w:tc>
        <w:tc>
          <w:tcPr>
            <w:tcW w:w="1376" w:type="pct"/>
            <w:tcMar>
              <w:left w:w="57" w:type="dxa"/>
              <w:right w:w="57" w:type="dxa"/>
            </w:tcMar>
            <w:vAlign w:val="center"/>
          </w:tcPr>
          <w:p>
            <w:pPr>
              <w:widowControl/>
              <w:jc w:val="center"/>
              <w:textAlignment w:val="center"/>
              <w:rPr>
                <w:b/>
                <w:color w:val="000000"/>
                <w:kern w:val="0"/>
                <w:szCs w:val="21"/>
              </w:rPr>
            </w:pPr>
            <w:r>
              <w:rPr>
                <w:b/>
                <w:color w:val="000000"/>
                <w:kern w:val="0"/>
                <w:szCs w:val="21"/>
              </w:rPr>
              <w:t>行为认定标准</w:t>
            </w:r>
          </w:p>
        </w:tc>
        <w:tc>
          <w:tcPr>
            <w:tcW w:w="458" w:type="pct"/>
            <w:tcMar>
              <w:left w:w="57" w:type="dxa"/>
              <w:right w:w="57" w:type="dxa"/>
            </w:tcMar>
            <w:vAlign w:val="center"/>
          </w:tcPr>
          <w:p>
            <w:pPr>
              <w:widowControl/>
              <w:jc w:val="center"/>
              <w:textAlignment w:val="center"/>
              <w:rPr>
                <w:b/>
                <w:color w:val="000000"/>
                <w:kern w:val="0"/>
                <w:szCs w:val="21"/>
              </w:rPr>
            </w:pPr>
            <w:r>
              <w:rPr>
                <w:b/>
                <w:color w:val="000000"/>
                <w:kern w:val="0"/>
                <w:szCs w:val="21"/>
              </w:rPr>
              <w:t>行为等级和扣分标准</w:t>
            </w:r>
          </w:p>
        </w:tc>
        <w:tc>
          <w:tcPr>
            <w:tcW w:w="1018" w:type="pct"/>
            <w:tcMar>
              <w:left w:w="57" w:type="dxa"/>
              <w:right w:w="57" w:type="dxa"/>
            </w:tcMar>
            <w:vAlign w:val="center"/>
          </w:tcPr>
          <w:p>
            <w:pPr>
              <w:widowControl/>
              <w:jc w:val="center"/>
              <w:textAlignment w:val="center"/>
              <w:rPr>
                <w:b/>
                <w:color w:val="000000"/>
                <w:kern w:val="0"/>
                <w:szCs w:val="21"/>
              </w:rPr>
            </w:pPr>
            <w:r>
              <w:rPr>
                <w:b/>
                <w:color w:val="000000"/>
                <w:kern w:val="0"/>
                <w:szCs w:val="21"/>
              </w:rPr>
              <w:t>现场考核方式方法</w:t>
            </w:r>
          </w:p>
        </w:tc>
        <w:tc>
          <w:tcPr>
            <w:tcW w:w="680" w:type="pct"/>
            <w:tcMar>
              <w:left w:w="57" w:type="dxa"/>
              <w:right w:w="57" w:type="dxa"/>
            </w:tcMar>
            <w:vAlign w:val="center"/>
          </w:tcPr>
          <w:p>
            <w:pPr>
              <w:widowControl/>
              <w:jc w:val="center"/>
              <w:textAlignment w:val="center"/>
              <w:rPr>
                <w:b/>
                <w:color w:val="000000"/>
                <w:kern w:val="0"/>
                <w:szCs w:val="21"/>
              </w:rPr>
            </w:pPr>
            <w:r>
              <w:rPr>
                <w:b/>
                <w:color w:val="000000"/>
                <w:kern w:val="0"/>
                <w:szCs w:val="21"/>
              </w:rPr>
              <w:t>条文说明</w:t>
            </w:r>
          </w:p>
        </w:tc>
      </w:tr>
      <w:bookmarkEnd w:id="18"/>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restart"/>
            <w:tcMar>
              <w:left w:w="57" w:type="dxa"/>
              <w:right w:w="57" w:type="dxa"/>
            </w:tcMar>
            <w:vAlign w:val="center"/>
          </w:tcPr>
          <w:p>
            <w:pPr>
              <w:widowControl/>
              <w:jc w:val="center"/>
              <w:textAlignment w:val="top"/>
              <w:rPr>
                <w:b/>
                <w:bCs/>
                <w:color w:val="000000"/>
                <w:kern w:val="0"/>
                <w:szCs w:val="21"/>
              </w:rPr>
            </w:pPr>
            <w:r>
              <w:rPr>
                <w:b/>
                <w:bCs/>
                <w:color w:val="000000"/>
                <w:kern w:val="0"/>
                <w:szCs w:val="21"/>
              </w:rPr>
              <w:t>履职履约</w:t>
            </w:r>
          </w:p>
          <w:p>
            <w:pPr>
              <w:widowControl/>
              <w:jc w:val="center"/>
              <w:textAlignment w:val="top"/>
              <w:rPr>
                <w:b/>
                <w:bCs/>
                <w:color w:val="000000"/>
                <w:kern w:val="0"/>
                <w:szCs w:val="21"/>
              </w:rPr>
            </w:pPr>
            <w:r>
              <w:rPr>
                <w:b/>
                <w:bCs/>
                <w:color w:val="000000"/>
                <w:kern w:val="0"/>
                <w:szCs w:val="21"/>
              </w:rPr>
              <w:t>严重失信行为</w:t>
            </w:r>
          </w:p>
          <w:p>
            <w:pPr>
              <w:widowControl/>
              <w:jc w:val="center"/>
              <w:textAlignment w:val="top"/>
              <w:rPr>
                <w:color w:val="000000"/>
                <w:kern w:val="0"/>
                <w:szCs w:val="21"/>
              </w:rPr>
            </w:pPr>
          </w:p>
          <w:p>
            <w:pPr>
              <w:widowControl/>
              <w:jc w:val="center"/>
              <w:textAlignment w:val="top"/>
              <w:rPr>
                <w:color w:val="000000"/>
                <w:szCs w:val="21"/>
              </w:rPr>
            </w:pPr>
            <w:r>
              <w:rPr>
                <w:b/>
                <w:bCs/>
                <w:color w:val="000000"/>
                <w:kern w:val="0"/>
                <w:szCs w:val="21"/>
              </w:rPr>
              <w:t>GLSG2-1</w:t>
            </w: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GLSG2-1-1</w:t>
            </w:r>
          </w:p>
        </w:tc>
        <w:tc>
          <w:tcPr>
            <w:tcW w:w="631" w:type="pct"/>
            <w:tcMar>
              <w:left w:w="57" w:type="dxa"/>
              <w:right w:w="57" w:type="dxa"/>
            </w:tcMar>
            <w:vAlign w:val="center"/>
          </w:tcPr>
          <w:p>
            <w:pPr>
              <w:widowControl/>
              <w:jc w:val="center"/>
              <w:textAlignment w:val="center"/>
              <w:rPr>
                <w:color w:val="000000"/>
                <w:szCs w:val="21"/>
              </w:rPr>
            </w:pPr>
            <w:r>
              <w:rPr>
                <w:color w:val="000000"/>
                <w:kern w:val="0"/>
                <w:szCs w:val="21"/>
              </w:rPr>
              <w:t>中标合同转包、全部分包</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1.中标人向他人转让中标项目</w:t>
            </w:r>
          </w:p>
          <w:p>
            <w:pPr>
              <w:widowControl/>
              <w:textAlignment w:val="center"/>
              <w:rPr>
                <w:color w:val="000000"/>
                <w:kern w:val="0"/>
                <w:szCs w:val="21"/>
              </w:rPr>
            </w:pPr>
            <w:r>
              <w:rPr>
                <w:color w:val="000000"/>
                <w:kern w:val="0"/>
                <w:szCs w:val="21"/>
              </w:rPr>
              <w:t>2.将中标项目肢解后分别向他人转让</w:t>
            </w:r>
          </w:p>
          <w:p>
            <w:pPr>
              <w:widowControl/>
              <w:textAlignment w:val="center"/>
              <w:rPr>
                <w:color w:val="000000"/>
                <w:kern w:val="0"/>
                <w:szCs w:val="21"/>
              </w:rPr>
            </w:pPr>
            <w:r>
              <w:rPr>
                <w:color w:val="000000"/>
                <w:kern w:val="0"/>
                <w:szCs w:val="21"/>
              </w:rPr>
              <w:t>3.将标段全部工作内容肢解后分别分包</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调查是否存在合同转让、全部分包行为</w:t>
            </w:r>
          </w:p>
        </w:tc>
        <w:tc>
          <w:tcPr>
            <w:tcW w:w="680" w:type="pct"/>
            <w:tcMar>
              <w:left w:w="57" w:type="dxa"/>
              <w:right w:w="57" w:type="dxa"/>
            </w:tcMar>
            <w:vAlign w:val="center"/>
          </w:tcPr>
          <w:p>
            <w:pPr>
              <w:widowControl/>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GLSG2-1-2</w:t>
            </w:r>
          </w:p>
        </w:tc>
        <w:tc>
          <w:tcPr>
            <w:tcW w:w="631" w:type="pct"/>
            <w:tcMar>
              <w:left w:w="57" w:type="dxa"/>
              <w:right w:w="57" w:type="dxa"/>
            </w:tcMar>
            <w:vAlign w:val="center"/>
          </w:tcPr>
          <w:p>
            <w:pPr>
              <w:widowControl/>
              <w:jc w:val="center"/>
              <w:textAlignment w:val="center"/>
              <w:rPr>
                <w:color w:val="000000"/>
                <w:szCs w:val="21"/>
              </w:rPr>
            </w:pPr>
            <w:r>
              <w:rPr>
                <w:color w:val="000000"/>
                <w:szCs w:val="21"/>
              </w:rPr>
              <w:t>发生重大质量安全责任事故</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国家有关法律法规明确的重大质量或重大及以上安全生产责任事故标准</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复核重大安全责任事故情况</w:t>
            </w:r>
          </w:p>
        </w:tc>
        <w:tc>
          <w:tcPr>
            <w:tcW w:w="680" w:type="pct"/>
            <w:vMerge w:val="restart"/>
            <w:tcMar>
              <w:left w:w="57" w:type="dxa"/>
              <w:right w:w="57" w:type="dxa"/>
            </w:tcMar>
            <w:vAlign w:val="center"/>
          </w:tcPr>
          <w:p>
            <w:pPr>
              <w:widowControl/>
              <w:textAlignment w:val="center"/>
              <w:rPr>
                <w:color w:val="000000"/>
                <w:kern w:val="0"/>
                <w:szCs w:val="21"/>
              </w:rPr>
            </w:pPr>
            <w:r>
              <w:rPr>
                <w:color w:val="000000"/>
                <w:kern w:val="0"/>
                <w:szCs w:val="21"/>
              </w:rPr>
              <w:t>参照《建设工程质量管理条例》，调查是否存在相关质量问题等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GLSG2-1-3</w:t>
            </w:r>
          </w:p>
        </w:tc>
        <w:tc>
          <w:tcPr>
            <w:tcW w:w="631" w:type="pct"/>
            <w:tcMar>
              <w:left w:w="57" w:type="dxa"/>
              <w:right w:w="57" w:type="dxa"/>
            </w:tcMar>
            <w:vAlign w:val="center"/>
          </w:tcPr>
          <w:p>
            <w:pPr>
              <w:widowControl/>
              <w:jc w:val="center"/>
              <w:textAlignment w:val="center"/>
              <w:rPr>
                <w:color w:val="000000"/>
                <w:szCs w:val="21"/>
              </w:rPr>
            </w:pPr>
            <w:r>
              <w:rPr>
                <w:color w:val="000000"/>
                <w:szCs w:val="21"/>
              </w:rPr>
              <w:t>质量检查不合格</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经质监机构鉴定标段工程质量不合格，</w:t>
            </w:r>
          </w:p>
          <w:p>
            <w:pPr>
              <w:widowControl/>
              <w:textAlignment w:val="center"/>
              <w:rPr>
                <w:color w:val="000000"/>
                <w:kern w:val="0"/>
                <w:szCs w:val="21"/>
              </w:rPr>
            </w:pPr>
            <w:r>
              <w:rPr>
                <w:color w:val="000000"/>
                <w:kern w:val="0"/>
                <w:szCs w:val="21"/>
              </w:rPr>
              <w:t>或施工管理综合评价为差</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核查质检机构鉴定证明材料或施工管理综合评价材料</w:t>
            </w:r>
          </w:p>
        </w:tc>
        <w:tc>
          <w:tcPr>
            <w:tcW w:w="680" w:type="pct"/>
            <w:vMerge w:val="continue"/>
            <w:tcMar>
              <w:left w:w="57" w:type="dxa"/>
              <w:right w:w="57" w:type="dxa"/>
            </w:tcMar>
            <w:vAlign w:val="center"/>
          </w:tcPr>
          <w:p>
            <w:pPr>
              <w:widowControl/>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kern w:val="0"/>
                <w:szCs w:val="21"/>
              </w:rPr>
            </w:pPr>
            <w:r>
              <w:rPr>
                <w:color w:val="000000"/>
                <w:kern w:val="0"/>
                <w:szCs w:val="21"/>
              </w:rPr>
              <w:t>GLSG2-1-4</w:t>
            </w:r>
          </w:p>
        </w:tc>
        <w:tc>
          <w:tcPr>
            <w:tcW w:w="631" w:type="pct"/>
            <w:tcMar>
              <w:left w:w="57" w:type="dxa"/>
              <w:right w:w="57" w:type="dxa"/>
            </w:tcMar>
            <w:vAlign w:val="center"/>
          </w:tcPr>
          <w:p>
            <w:pPr>
              <w:widowControl/>
              <w:jc w:val="center"/>
              <w:textAlignment w:val="center"/>
              <w:rPr>
                <w:color w:val="000000"/>
                <w:szCs w:val="21"/>
              </w:rPr>
            </w:pPr>
            <w:r>
              <w:rPr>
                <w:color w:val="000000"/>
                <w:szCs w:val="21"/>
              </w:rPr>
              <w:t>严重破坏</w:t>
            </w:r>
          </w:p>
          <w:p>
            <w:pPr>
              <w:widowControl/>
              <w:jc w:val="center"/>
              <w:textAlignment w:val="center"/>
              <w:rPr>
                <w:color w:val="000000"/>
                <w:szCs w:val="21"/>
              </w:rPr>
            </w:pPr>
            <w:r>
              <w:rPr>
                <w:color w:val="000000"/>
                <w:szCs w:val="21"/>
              </w:rPr>
              <w:t>环境</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造成生态环境破坏</w:t>
            </w:r>
          </w:p>
          <w:p>
            <w:pPr>
              <w:widowControl/>
              <w:textAlignment w:val="center"/>
              <w:rPr>
                <w:color w:val="000000"/>
                <w:kern w:val="0"/>
                <w:szCs w:val="21"/>
              </w:rPr>
            </w:pPr>
            <w:r>
              <w:rPr>
                <w:color w:val="000000"/>
                <w:kern w:val="0"/>
                <w:szCs w:val="21"/>
              </w:rPr>
              <w:t>或乱占土地，造成严重影响</w:t>
            </w:r>
          </w:p>
        </w:tc>
        <w:tc>
          <w:tcPr>
            <w:tcW w:w="458" w:type="pct"/>
            <w:tcMar>
              <w:left w:w="57" w:type="dxa"/>
              <w:right w:w="57" w:type="dxa"/>
            </w:tcMar>
            <w:vAlign w:val="center"/>
          </w:tcPr>
          <w:p>
            <w:pPr>
              <w:widowControl/>
              <w:jc w:val="center"/>
              <w:textAlignment w:val="center"/>
              <w:rPr>
                <w:color w:val="000000"/>
                <w:kern w:val="0"/>
                <w:szCs w:val="21"/>
              </w:rPr>
            </w:pPr>
            <w:r>
              <w:rPr>
                <w:color w:val="000000"/>
                <w:kern w:val="0"/>
                <w:szCs w:val="21"/>
              </w:rPr>
              <w:t>直接定为D级</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核查省级及以上环保部门出具的环境影响证明材料</w:t>
            </w:r>
          </w:p>
        </w:tc>
        <w:tc>
          <w:tcPr>
            <w:tcW w:w="680" w:type="pct"/>
            <w:tcMar>
              <w:left w:w="57" w:type="dxa"/>
              <w:right w:w="57" w:type="dxa"/>
            </w:tcMar>
            <w:vAlign w:val="center"/>
          </w:tcPr>
          <w:p>
            <w:pPr>
              <w:widowControl/>
              <w:textAlignment w:val="center"/>
              <w:rPr>
                <w:color w:val="000000"/>
                <w:kern w:val="0"/>
                <w:szCs w:val="21"/>
              </w:rPr>
            </w:pPr>
            <w:r>
              <w:rPr>
                <w:color w:val="000000"/>
                <w:kern w:val="0"/>
                <w:szCs w:val="21"/>
              </w:rPr>
              <w:t>参照《建设项目环境保护管理条例》，调查是否存在相关问题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363" w:type="pct"/>
            <w:vMerge w:val="continue"/>
            <w:tcMar>
              <w:left w:w="57" w:type="dxa"/>
              <w:right w:w="57" w:type="dxa"/>
            </w:tcMar>
            <w:vAlign w:val="center"/>
          </w:tcPr>
          <w:p>
            <w:pPr>
              <w:jc w:val="center"/>
              <w:rPr>
                <w:color w:val="000000"/>
                <w:szCs w:val="21"/>
              </w:rPr>
            </w:pPr>
          </w:p>
        </w:tc>
        <w:tc>
          <w:tcPr>
            <w:tcW w:w="474"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GLSG2-1-5</w:t>
            </w:r>
          </w:p>
        </w:tc>
        <w:tc>
          <w:tcPr>
            <w:tcW w:w="631" w:type="pct"/>
            <w:tcMar>
              <w:left w:w="57" w:type="dxa"/>
              <w:right w:w="57" w:type="dxa"/>
            </w:tcMar>
            <w:vAlign w:val="center"/>
          </w:tcPr>
          <w:p>
            <w:pPr>
              <w:widowControl/>
              <w:jc w:val="center"/>
              <w:textAlignment w:val="center"/>
              <w:rPr>
                <w:color w:val="000000"/>
                <w:szCs w:val="21"/>
              </w:rPr>
            </w:pPr>
            <w:r>
              <w:rPr>
                <w:color w:val="000000"/>
                <w:kern w:val="0"/>
                <w:szCs w:val="21"/>
              </w:rPr>
              <w:t>项目负责人被追究刑事责任</w:t>
            </w:r>
          </w:p>
        </w:tc>
        <w:tc>
          <w:tcPr>
            <w:tcW w:w="1376"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在项目实施过程中项目负责人发生重大腐败问题，被追究刑事责任的；</w:t>
            </w:r>
          </w:p>
        </w:tc>
        <w:tc>
          <w:tcPr>
            <w:tcW w:w="458"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直接定为D级</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是否存在因廉政方面的重大腐败问题被追究刑事责任</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Borders>
              <w:bottom w:val="single" w:color="auto" w:sz="4" w:space="0"/>
            </w:tcBorders>
            <w:tcMar>
              <w:left w:w="57" w:type="dxa"/>
              <w:right w:w="57" w:type="dxa"/>
            </w:tcMar>
            <w:vAlign w:val="center"/>
          </w:tcPr>
          <w:p>
            <w:pPr>
              <w:jc w:val="center"/>
              <w:rPr>
                <w:color w:val="000000"/>
                <w:szCs w:val="21"/>
              </w:rPr>
            </w:pPr>
          </w:p>
        </w:tc>
        <w:tc>
          <w:tcPr>
            <w:tcW w:w="474" w:type="pct"/>
            <w:shd w:val="clear" w:color="auto" w:fill="auto"/>
            <w:tcMar>
              <w:left w:w="57" w:type="dxa"/>
              <w:right w:w="57" w:type="dxa"/>
            </w:tcMar>
            <w:vAlign w:val="center"/>
          </w:tcPr>
          <w:p>
            <w:pPr>
              <w:widowControl/>
              <w:jc w:val="center"/>
              <w:textAlignment w:val="center"/>
              <w:rPr>
                <w:color w:val="000000"/>
                <w:szCs w:val="21"/>
              </w:rPr>
            </w:pPr>
            <w:r>
              <w:rPr>
                <w:color w:val="000000"/>
                <w:kern w:val="0"/>
                <w:szCs w:val="21"/>
              </w:rPr>
              <w:t>GLSG2-1-6</w:t>
            </w:r>
          </w:p>
        </w:tc>
        <w:tc>
          <w:tcPr>
            <w:tcW w:w="631" w:type="pct"/>
            <w:tcMar>
              <w:left w:w="57" w:type="dxa"/>
              <w:right w:w="57" w:type="dxa"/>
            </w:tcMar>
            <w:vAlign w:val="center"/>
          </w:tcPr>
          <w:p>
            <w:pPr>
              <w:widowControl/>
              <w:jc w:val="center"/>
              <w:textAlignment w:val="center"/>
              <w:rPr>
                <w:color w:val="000000"/>
                <w:szCs w:val="21"/>
              </w:rPr>
            </w:pPr>
            <w:r>
              <w:rPr>
                <w:color w:val="000000"/>
                <w:kern w:val="0"/>
                <w:szCs w:val="21"/>
              </w:rPr>
              <w:t>其他严重失信行为</w:t>
            </w:r>
          </w:p>
        </w:tc>
        <w:tc>
          <w:tcPr>
            <w:tcW w:w="1376"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《甘肃省公路施工企业信用评价实施细则》第十四条中“有下列情形之一的，属于严重失信行为”（一）~（五）</w:t>
            </w:r>
          </w:p>
        </w:tc>
        <w:tc>
          <w:tcPr>
            <w:tcW w:w="458" w:type="pct"/>
            <w:shd w:val="clear" w:color="auto" w:fill="auto"/>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对照《甘肃省公路施工企业信用评价实施细则》第十四条</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56" w:hRule="atLeast"/>
          <w:jc w:val="center"/>
        </w:trPr>
        <w:tc>
          <w:tcPr>
            <w:tcW w:w="363" w:type="pct"/>
            <w:vMerge w:val="restart"/>
            <w:tcBorders>
              <w:top w:val="single" w:color="auto" w:sz="4" w:space="0"/>
            </w:tcBorders>
            <w:tcMar>
              <w:left w:w="57" w:type="dxa"/>
              <w:right w:w="57" w:type="dxa"/>
            </w:tcMar>
            <w:vAlign w:val="center"/>
          </w:tcPr>
          <w:p>
            <w:pPr>
              <w:jc w:val="center"/>
              <w:rPr>
                <w:b/>
                <w:bCs/>
                <w:color w:val="000000"/>
                <w:kern w:val="0"/>
                <w:szCs w:val="21"/>
              </w:rPr>
            </w:pPr>
            <w:r>
              <w:rPr>
                <w:b/>
                <w:bCs/>
                <w:color w:val="000000"/>
                <w:kern w:val="0"/>
                <w:szCs w:val="21"/>
              </w:rPr>
              <w:t>人员、设备到位</w:t>
            </w:r>
          </w:p>
          <w:p>
            <w:pPr>
              <w:jc w:val="center"/>
              <w:rPr>
                <w:b/>
                <w:bCs/>
                <w:color w:val="000000"/>
                <w:kern w:val="0"/>
                <w:szCs w:val="21"/>
              </w:rPr>
            </w:pPr>
            <w:r>
              <w:rPr>
                <w:b/>
                <w:bCs/>
                <w:color w:val="000000"/>
                <w:kern w:val="0"/>
                <w:szCs w:val="21"/>
              </w:rPr>
              <w:t>（10分）</w:t>
            </w:r>
          </w:p>
          <w:p>
            <w:pPr>
              <w:jc w:val="center"/>
              <w:rPr>
                <w:color w:val="000000"/>
                <w:kern w:val="0"/>
                <w:szCs w:val="21"/>
              </w:rPr>
            </w:pPr>
          </w:p>
          <w:p>
            <w:pPr>
              <w:jc w:val="center"/>
              <w:rPr>
                <w:color w:val="000000"/>
                <w:szCs w:val="21"/>
              </w:rPr>
            </w:pPr>
            <w:r>
              <w:rPr>
                <w:b/>
                <w:bCs/>
                <w:color w:val="000000"/>
                <w:kern w:val="0"/>
                <w:szCs w:val="21"/>
              </w:rPr>
              <w:t>GLSG2-2</w:t>
            </w:r>
          </w:p>
        </w:tc>
        <w:tc>
          <w:tcPr>
            <w:tcW w:w="474" w:type="pct"/>
            <w:tcMar>
              <w:left w:w="57" w:type="dxa"/>
              <w:right w:w="57" w:type="dxa"/>
            </w:tcMar>
            <w:vAlign w:val="center"/>
          </w:tcPr>
          <w:p>
            <w:pPr>
              <w:jc w:val="center"/>
              <w:textAlignment w:val="center"/>
              <w:rPr>
                <w:color w:val="000000"/>
                <w:szCs w:val="21"/>
              </w:rPr>
            </w:pPr>
            <w:r>
              <w:rPr>
                <w:color w:val="000000"/>
                <w:kern w:val="0"/>
                <w:szCs w:val="21"/>
              </w:rPr>
              <w:t>GLSG2-2-1</w:t>
            </w:r>
          </w:p>
        </w:tc>
        <w:tc>
          <w:tcPr>
            <w:tcW w:w="631" w:type="pct"/>
            <w:tcMar>
              <w:left w:w="57" w:type="dxa"/>
              <w:right w:w="57" w:type="dxa"/>
            </w:tcMar>
            <w:vAlign w:val="center"/>
          </w:tcPr>
          <w:p>
            <w:pPr>
              <w:jc w:val="center"/>
              <w:textAlignment w:val="center"/>
              <w:rPr>
                <w:color w:val="000000"/>
                <w:szCs w:val="21"/>
              </w:rPr>
            </w:pPr>
            <w:r>
              <w:rPr>
                <w:color w:val="000000"/>
                <w:szCs w:val="21"/>
              </w:rPr>
              <w:t>无故不进场</w:t>
            </w:r>
          </w:p>
        </w:tc>
        <w:tc>
          <w:tcPr>
            <w:tcW w:w="1376" w:type="pct"/>
            <w:tcMar>
              <w:left w:w="57" w:type="dxa"/>
              <w:right w:w="57" w:type="dxa"/>
            </w:tcMar>
            <w:vAlign w:val="center"/>
          </w:tcPr>
          <w:p>
            <w:pPr>
              <w:textAlignment w:val="center"/>
              <w:rPr>
                <w:color w:val="000000"/>
                <w:kern w:val="0"/>
                <w:szCs w:val="21"/>
              </w:rPr>
            </w:pPr>
            <w:r>
              <w:rPr>
                <w:color w:val="000000"/>
                <w:kern w:val="0"/>
                <w:szCs w:val="21"/>
              </w:rPr>
              <w:t>签订合同后无正当理由不按投标文件承诺时间进场</w:t>
            </w:r>
          </w:p>
        </w:tc>
        <w:tc>
          <w:tcPr>
            <w:tcW w:w="458" w:type="pct"/>
            <w:tcMar>
              <w:left w:w="57" w:type="dxa"/>
              <w:right w:w="57" w:type="dxa"/>
            </w:tcMar>
            <w:vAlign w:val="center"/>
          </w:tcPr>
          <w:p>
            <w:pPr>
              <w:jc w:val="center"/>
              <w:textAlignment w:val="center"/>
              <w:rPr>
                <w:color w:val="000000"/>
                <w:szCs w:val="21"/>
              </w:rPr>
            </w:pPr>
            <w:r>
              <w:rPr>
                <w:color w:val="000000"/>
                <w:kern w:val="0"/>
                <w:szCs w:val="21"/>
              </w:rPr>
              <w:t>2分/延迟10日</w:t>
            </w:r>
          </w:p>
        </w:tc>
        <w:tc>
          <w:tcPr>
            <w:tcW w:w="1018" w:type="pct"/>
            <w:tcMar>
              <w:left w:w="57" w:type="dxa"/>
              <w:right w:w="57" w:type="dxa"/>
            </w:tcMar>
            <w:vAlign w:val="center"/>
          </w:tcPr>
          <w:p>
            <w:pPr>
              <w:textAlignment w:val="center"/>
              <w:rPr>
                <w:color w:val="000000"/>
                <w:kern w:val="0"/>
                <w:szCs w:val="21"/>
              </w:rPr>
            </w:pPr>
            <w:r>
              <w:rPr>
                <w:color w:val="000000"/>
                <w:kern w:val="0"/>
                <w:szCs w:val="21"/>
              </w:rPr>
              <w:t>是否按要求进场施工，核查相关施工证明文件或台账记录</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GLSG2-2-2</w:t>
            </w:r>
          </w:p>
        </w:tc>
        <w:tc>
          <w:tcPr>
            <w:tcW w:w="631" w:type="pct"/>
            <w:tcMar>
              <w:left w:w="57" w:type="dxa"/>
              <w:right w:w="57" w:type="dxa"/>
            </w:tcMar>
            <w:vAlign w:val="center"/>
          </w:tcPr>
          <w:p>
            <w:pPr>
              <w:widowControl/>
              <w:jc w:val="center"/>
              <w:textAlignment w:val="center"/>
              <w:rPr>
                <w:color w:val="000000"/>
                <w:szCs w:val="21"/>
              </w:rPr>
            </w:pPr>
            <w:r>
              <w:rPr>
                <w:color w:val="000000"/>
                <w:szCs w:val="21"/>
              </w:rPr>
              <w:t>负责人员未到位</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1.项目经理、技术负责人等未按投标承诺到位</w:t>
            </w:r>
          </w:p>
          <w:p>
            <w:pPr>
              <w:widowControl/>
              <w:textAlignment w:val="center"/>
              <w:rPr>
                <w:color w:val="000000"/>
                <w:kern w:val="0"/>
                <w:szCs w:val="21"/>
              </w:rPr>
            </w:pPr>
            <w:r>
              <w:rPr>
                <w:color w:val="000000"/>
                <w:kern w:val="0"/>
                <w:szCs w:val="21"/>
              </w:rPr>
              <w:t>2.在施工期间更换人员资格降低</w:t>
            </w:r>
          </w:p>
          <w:p>
            <w:pPr>
              <w:widowControl/>
              <w:textAlignment w:val="center"/>
              <w:rPr>
                <w:color w:val="000000"/>
                <w:kern w:val="0"/>
                <w:szCs w:val="21"/>
              </w:rPr>
            </w:pPr>
            <w:r>
              <w:rPr>
                <w:color w:val="000000"/>
                <w:kern w:val="0"/>
                <w:szCs w:val="21"/>
              </w:rPr>
              <w:t>3.未经批准擅自更换</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3分/人次</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是否按要求进场，核查相关施工证明文件或台账记录</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将此类行为归入“严重不良行为”加大扣分力度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GLSG2-2-3</w:t>
            </w:r>
          </w:p>
        </w:tc>
        <w:tc>
          <w:tcPr>
            <w:tcW w:w="631" w:type="pct"/>
            <w:tcMar>
              <w:left w:w="57" w:type="dxa"/>
              <w:right w:w="57" w:type="dxa"/>
            </w:tcMar>
            <w:vAlign w:val="center"/>
          </w:tcPr>
          <w:p>
            <w:pPr>
              <w:widowControl/>
              <w:jc w:val="center"/>
              <w:textAlignment w:val="center"/>
              <w:rPr>
                <w:color w:val="000000"/>
                <w:szCs w:val="21"/>
              </w:rPr>
            </w:pPr>
            <w:r>
              <w:rPr>
                <w:color w:val="000000"/>
                <w:szCs w:val="21"/>
              </w:rPr>
              <w:t>安全人员未到位</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1.安全员未按投标承诺到位，或无正当理由更换</w:t>
            </w:r>
          </w:p>
          <w:p>
            <w:pPr>
              <w:widowControl/>
              <w:textAlignment w:val="center"/>
              <w:rPr>
                <w:color w:val="000000"/>
                <w:kern w:val="0"/>
                <w:szCs w:val="21"/>
              </w:rPr>
            </w:pPr>
            <w:r>
              <w:rPr>
                <w:color w:val="000000"/>
                <w:kern w:val="0"/>
                <w:szCs w:val="21"/>
              </w:rPr>
              <w:t>2.其他注册执业人员未按投标承诺到位，或无正当理由更换</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0.5分/人次</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是否按要求进场，核查相关证明文件或台账记录</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GLSG2-2-4</w:t>
            </w:r>
          </w:p>
        </w:tc>
        <w:tc>
          <w:tcPr>
            <w:tcW w:w="631" w:type="pct"/>
            <w:tcMar>
              <w:left w:w="57" w:type="dxa"/>
              <w:right w:w="57" w:type="dxa"/>
            </w:tcMar>
            <w:vAlign w:val="center"/>
          </w:tcPr>
          <w:p>
            <w:pPr>
              <w:widowControl/>
              <w:jc w:val="center"/>
              <w:textAlignment w:val="center"/>
              <w:rPr>
                <w:color w:val="000000"/>
                <w:szCs w:val="21"/>
              </w:rPr>
            </w:pPr>
            <w:r>
              <w:rPr>
                <w:color w:val="000000"/>
                <w:szCs w:val="21"/>
              </w:rPr>
              <w:t>管理人员、技术人员未到位</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主要工程管理、技术人员未按投标承诺到位</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0.2分/人次</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是否按要求进场，核查相关证明文件或台账记录</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GLSG2-2-5</w:t>
            </w:r>
          </w:p>
        </w:tc>
        <w:tc>
          <w:tcPr>
            <w:tcW w:w="631" w:type="pct"/>
            <w:tcMar>
              <w:left w:w="57" w:type="dxa"/>
              <w:right w:w="57" w:type="dxa"/>
            </w:tcMar>
            <w:vAlign w:val="center"/>
          </w:tcPr>
          <w:p>
            <w:pPr>
              <w:widowControl/>
              <w:jc w:val="center"/>
              <w:textAlignment w:val="center"/>
              <w:rPr>
                <w:color w:val="000000"/>
                <w:szCs w:val="21"/>
              </w:rPr>
            </w:pPr>
            <w:r>
              <w:rPr>
                <w:color w:val="000000"/>
                <w:szCs w:val="21"/>
              </w:rPr>
              <w:t>设施设备未到位</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主要施工机械、试验检测设备未按投标承诺或工程需要到位</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0.5—1分/台套</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是否按要求施工，核查相关证明文件或台账记录</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694"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GLSG2-2-6</w:t>
            </w:r>
          </w:p>
        </w:tc>
        <w:tc>
          <w:tcPr>
            <w:tcW w:w="631" w:type="pct"/>
            <w:tcMar>
              <w:left w:w="57" w:type="dxa"/>
              <w:right w:w="57" w:type="dxa"/>
            </w:tcMar>
            <w:vAlign w:val="center"/>
          </w:tcPr>
          <w:p>
            <w:pPr>
              <w:widowControl/>
              <w:jc w:val="center"/>
              <w:textAlignment w:val="center"/>
              <w:rPr>
                <w:color w:val="000000"/>
                <w:szCs w:val="21"/>
              </w:rPr>
            </w:pPr>
            <w:r>
              <w:rPr>
                <w:color w:val="000000"/>
                <w:szCs w:val="21"/>
              </w:rPr>
              <w:t>未持证上岗</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有关持证人员未按要求持证上岗</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1分/人次</w:t>
            </w:r>
          </w:p>
        </w:tc>
        <w:tc>
          <w:tcPr>
            <w:tcW w:w="1018" w:type="pct"/>
            <w:tcMar>
              <w:left w:w="57" w:type="dxa"/>
              <w:right w:w="57" w:type="dxa"/>
            </w:tcMar>
            <w:vAlign w:val="center"/>
          </w:tcPr>
          <w:p>
            <w:pPr>
              <w:widowControl/>
              <w:textAlignment w:val="center"/>
              <w:rPr>
                <w:color w:val="000000"/>
                <w:kern w:val="0"/>
                <w:szCs w:val="21"/>
              </w:rPr>
            </w:pPr>
            <w:r>
              <w:rPr>
                <w:color w:val="000000"/>
                <w:kern w:val="0"/>
                <w:szCs w:val="21"/>
              </w:rPr>
              <w:t>是否持证上岗，核查相关资格证书和台账记录</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661" w:hRule="atLeast"/>
          <w:jc w:val="center"/>
        </w:trPr>
        <w:tc>
          <w:tcPr>
            <w:tcW w:w="363" w:type="pct"/>
            <w:vMerge w:val="continue"/>
            <w:tcBorders>
              <w:bottom w:val="single" w:color="auto" w:sz="4" w:space="0"/>
            </w:tcBorders>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GLSG2-2-7</w:t>
            </w:r>
          </w:p>
        </w:tc>
        <w:tc>
          <w:tcPr>
            <w:tcW w:w="631" w:type="pct"/>
            <w:tcMar>
              <w:left w:w="57" w:type="dxa"/>
              <w:right w:w="57" w:type="dxa"/>
            </w:tcMar>
            <w:vAlign w:val="center"/>
          </w:tcPr>
          <w:p>
            <w:pPr>
              <w:widowControl/>
              <w:jc w:val="center"/>
              <w:textAlignment w:val="center"/>
              <w:rPr>
                <w:color w:val="000000"/>
                <w:szCs w:val="21"/>
              </w:rPr>
            </w:pPr>
            <w:r>
              <w:rPr>
                <w:color w:val="000000"/>
                <w:szCs w:val="21"/>
              </w:rPr>
              <w:t>不合规签订合同</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未按规定签订劳务用工合同</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2分/次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核查相关劳务合同原件</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restart"/>
            <w:tcBorders>
              <w:top w:val="single" w:color="auto" w:sz="4" w:space="0"/>
            </w:tcBorders>
            <w:tcMar>
              <w:left w:w="57" w:type="dxa"/>
              <w:right w:w="57" w:type="dxa"/>
            </w:tcMar>
            <w:vAlign w:val="center"/>
          </w:tcPr>
          <w:p>
            <w:pPr>
              <w:jc w:val="center"/>
              <w:rPr>
                <w:b/>
                <w:bCs/>
                <w:color w:val="000000"/>
                <w:kern w:val="0"/>
                <w:szCs w:val="21"/>
              </w:rPr>
            </w:pPr>
            <w:r>
              <w:rPr>
                <w:b/>
                <w:bCs/>
                <w:color w:val="000000"/>
                <w:kern w:val="0"/>
                <w:szCs w:val="21"/>
              </w:rPr>
              <w:t>质量管理、进度管理</w:t>
            </w:r>
          </w:p>
          <w:p>
            <w:pPr>
              <w:jc w:val="center"/>
              <w:rPr>
                <w:b/>
                <w:bCs/>
                <w:color w:val="000000"/>
                <w:kern w:val="0"/>
                <w:szCs w:val="21"/>
              </w:rPr>
            </w:pPr>
            <w:r>
              <w:rPr>
                <w:b/>
                <w:bCs/>
                <w:color w:val="000000"/>
                <w:kern w:val="0"/>
                <w:szCs w:val="21"/>
              </w:rPr>
              <w:t>（50分）</w:t>
            </w:r>
          </w:p>
          <w:p>
            <w:pPr>
              <w:jc w:val="center"/>
              <w:rPr>
                <w:color w:val="000000"/>
                <w:kern w:val="0"/>
                <w:szCs w:val="21"/>
              </w:rPr>
            </w:pPr>
          </w:p>
          <w:p>
            <w:pPr>
              <w:jc w:val="center"/>
              <w:rPr>
                <w:color w:val="000000"/>
                <w:szCs w:val="21"/>
              </w:rPr>
            </w:pPr>
            <w:r>
              <w:rPr>
                <w:b/>
                <w:bCs/>
                <w:color w:val="000000"/>
                <w:kern w:val="0"/>
                <w:szCs w:val="21"/>
              </w:rPr>
              <w:t>GLSG2-3</w:t>
            </w: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w:t>
            </w:r>
          </w:p>
        </w:tc>
        <w:tc>
          <w:tcPr>
            <w:tcW w:w="631" w:type="pct"/>
            <w:tcMar>
              <w:left w:w="57" w:type="dxa"/>
              <w:right w:w="57" w:type="dxa"/>
            </w:tcMar>
            <w:vAlign w:val="center"/>
          </w:tcPr>
          <w:p>
            <w:pPr>
              <w:widowControl/>
              <w:jc w:val="center"/>
              <w:textAlignment w:val="center"/>
              <w:rPr>
                <w:color w:val="000000"/>
                <w:szCs w:val="21"/>
              </w:rPr>
            </w:pPr>
            <w:r>
              <w:rPr>
                <w:color w:val="000000"/>
                <w:szCs w:val="21"/>
              </w:rPr>
              <w:t>拒绝或阻碍督查</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拒绝或阻碍依法进行公路建设监督检查工作</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根据投诉或有关记录</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GLSG2-3-2</w:t>
            </w:r>
          </w:p>
        </w:tc>
        <w:tc>
          <w:tcPr>
            <w:tcW w:w="631" w:type="pct"/>
            <w:tcMar>
              <w:left w:w="57" w:type="dxa"/>
              <w:right w:w="57" w:type="dxa"/>
            </w:tcMar>
            <w:vAlign w:val="center"/>
          </w:tcPr>
          <w:p>
            <w:pPr>
              <w:widowControl/>
              <w:jc w:val="center"/>
              <w:textAlignment w:val="center"/>
              <w:rPr>
                <w:color w:val="000000"/>
                <w:szCs w:val="21"/>
              </w:rPr>
            </w:pPr>
            <w:r>
              <w:rPr>
                <w:color w:val="000000"/>
                <w:szCs w:val="21"/>
              </w:rPr>
              <w:t>未开展专业培训</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未对职工进行公路建设市场信用评价</w:t>
            </w:r>
          </w:p>
          <w:p>
            <w:pPr>
              <w:widowControl/>
              <w:textAlignment w:val="center"/>
              <w:rPr>
                <w:color w:val="000000"/>
                <w:kern w:val="0"/>
                <w:szCs w:val="21"/>
              </w:rPr>
            </w:pPr>
            <w:r>
              <w:rPr>
                <w:color w:val="000000"/>
                <w:kern w:val="0"/>
                <w:szCs w:val="21"/>
              </w:rPr>
              <w:t>专项教育和培训</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0.5分/人次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核查相关台账、走访抽查相关人员</w:t>
            </w:r>
          </w:p>
        </w:tc>
        <w:tc>
          <w:tcPr>
            <w:tcW w:w="680" w:type="pct"/>
            <w:tcMar>
              <w:left w:w="57" w:type="dxa"/>
              <w:right w:w="57" w:type="dxa"/>
            </w:tcMar>
            <w:vAlign w:val="center"/>
          </w:tcPr>
          <w:p>
            <w:pPr>
              <w:widowControl/>
              <w:textAlignment w:val="center"/>
              <w:rPr>
                <w:color w:val="000000"/>
                <w:kern w:val="0"/>
                <w:szCs w:val="21"/>
              </w:rPr>
            </w:pPr>
            <w:r>
              <w:rPr>
                <w:color w:val="000000"/>
                <w:kern w:val="0"/>
                <w:szCs w:val="21"/>
              </w:rPr>
              <w:t>将未开展专业培训的内容细化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GLSG2-3-3</w:t>
            </w:r>
          </w:p>
        </w:tc>
        <w:tc>
          <w:tcPr>
            <w:tcW w:w="631" w:type="pct"/>
            <w:tcMar>
              <w:left w:w="57" w:type="dxa"/>
              <w:right w:w="57" w:type="dxa"/>
            </w:tcMar>
            <w:vAlign w:val="center"/>
          </w:tcPr>
          <w:p>
            <w:pPr>
              <w:widowControl/>
              <w:jc w:val="center"/>
              <w:textAlignment w:val="center"/>
              <w:rPr>
                <w:color w:val="000000"/>
                <w:szCs w:val="21"/>
              </w:rPr>
            </w:pPr>
            <w:r>
              <w:rPr>
                <w:color w:val="000000"/>
                <w:szCs w:val="21"/>
              </w:rPr>
              <w:t>制度体系不健全</w:t>
            </w:r>
          </w:p>
        </w:tc>
        <w:tc>
          <w:tcPr>
            <w:tcW w:w="1376" w:type="pct"/>
            <w:tcMar>
              <w:left w:w="57" w:type="dxa"/>
              <w:right w:w="57" w:type="dxa"/>
            </w:tcMar>
            <w:vAlign w:val="center"/>
          </w:tcPr>
          <w:p>
            <w:pPr>
              <w:widowControl/>
              <w:textAlignment w:val="center"/>
              <w:rPr>
                <w:color w:val="000000"/>
                <w:szCs w:val="21"/>
              </w:rPr>
            </w:pPr>
            <w:r>
              <w:rPr>
                <w:color w:val="000000"/>
                <w:kern w:val="0"/>
                <w:szCs w:val="21"/>
              </w:rPr>
              <w:t>质量保证体系或质量保证措施不健全</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3分</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核查相关证明材料</w:t>
            </w:r>
          </w:p>
        </w:tc>
        <w:tc>
          <w:tcPr>
            <w:tcW w:w="680" w:type="pct"/>
            <w:tcMar>
              <w:left w:w="57" w:type="dxa"/>
              <w:right w:w="57" w:type="dxa"/>
            </w:tcMar>
            <w:vAlign w:val="center"/>
          </w:tcPr>
          <w:p>
            <w:pPr>
              <w:widowControl/>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855"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GLSG2-3-4</w:t>
            </w:r>
          </w:p>
        </w:tc>
        <w:tc>
          <w:tcPr>
            <w:tcW w:w="631" w:type="pct"/>
            <w:tcMar>
              <w:left w:w="57" w:type="dxa"/>
              <w:right w:w="57" w:type="dxa"/>
            </w:tcMar>
            <w:vAlign w:val="center"/>
          </w:tcPr>
          <w:p>
            <w:pPr>
              <w:widowControl/>
              <w:jc w:val="center"/>
              <w:textAlignment w:val="center"/>
              <w:rPr>
                <w:color w:val="000000"/>
                <w:szCs w:val="21"/>
              </w:rPr>
            </w:pPr>
            <w:r>
              <w:rPr>
                <w:color w:val="000000"/>
                <w:szCs w:val="21"/>
              </w:rPr>
              <w:t>预防措施不健全</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重大风险源施工预防措施不健全、设施设备不齐备、管理不健全等</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2分/次</w:t>
            </w:r>
          </w:p>
        </w:tc>
        <w:tc>
          <w:tcPr>
            <w:tcW w:w="1018" w:type="pct"/>
            <w:tcMar>
              <w:left w:w="57" w:type="dxa"/>
              <w:right w:w="57" w:type="dxa"/>
            </w:tcMar>
            <w:vAlign w:val="center"/>
          </w:tcPr>
          <w:p>
            <w:pPr>
              <w:jc w:val="center"/>
              <w:rPr>
                <w:color w:val="000000"/>
                <w:kern w:val="0"/>
                <w:szCs w:val="21"/>
              </w:rPr>
            </w:pPr>
            <w:r>
              <w:rPr>
                <w:color w:val="000000"/>
                <w:kern w:val="0"/>
                <w:szCs w:val="21"/>
              </w:rPr>
              <w:t>核查相关制度文件材料</w:t>
            </w:r>
          </w:p>
        </w:tc>
        <w:tc>
          <w:tcPr>
            <w:tcW w:w="680" w:type="pct"/>
            <w:tcMar>
              <w:left w:w="57" w:type="dxa"/>
              <w:right w:w="57" w:type="dxa"/>
            </w:tcMar>
            <w:vAlign w:val="center"/>
          </w:tcPr>
          <w:p>
            <w:pPr>
              <w:widowControl/>
              <w:textAlignment w:val="center"/>
              <w:rPr>
                <w:color w:val="000000"/>
                <w:kern w:val="0"/>
                <w:szCs w:val="21"/>
              </w:rPr>
            </w:pPr>
            <w:r>
              <w:rPr>
                <w:color w:val="000000"/>
                <w:kern w:val="0"/>
                <w:szCs w:val="21"/>
              </w:rPr>
              <w:t>全面考虑防护措施不健全的行为，避免出现遗漏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5"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GLSG2-3-5</w:t>
            </w:r>
          </w:p>
        </w:tc>
        <w:tc>
          <w:tcPr>
            <w:tcW w:w="631" w:type="pct"/>
            <w:tcMar>
              <w:left w:w="57" w:type="dxa"/>
              <w:right w:w="57" w:type="dxa"/>
            </w:tcMar>
            <w:vAlign w:val="center"/>
          </w:tcPr>
          <w:p>
            <w:pPr>
              <w:widowControl/>
              <w:jc w:val="center"/>
              <w:textAlignment w:val="center"/>
              <w:rPr>
                <w:color w:val="000000"/>
                <w:szCs w:val="21"/>
              </w:rPr>
            </w:pPr>
            <w:r>
              <w:rPr>
                <w:color w:val="000000"/>
                <w:szCs w:val="21"/>
              </w:rPr>
              <w:t>未建立登记制度</w:t>
            </w:r>
          </w:p>
        </w:tc>
        <w:tc>
          <w:tcPr>
            <w:tcW w:w="1376" w:type="pct"/>
            <w:tcMar>
              <w:left w:w="57" w:type="dxa"/>
              <w:right w:w="57" w:type="dxa"/>
            </w:tcMar>
            <w:vAlign w:val="center"/>
          </w:tcPr>
          <w:p>
            <w:pPr>
              <w:widowControl/>
              <w:textAlignment w:val="center"/>
              <w:rPr>
                <w:color w:val="000000"/>
                <w:szCs w:val="21"/>
              </w:rPr>
            </w:pPr>
            <w:r>
              <w:rPr>
                <w:color w:val="000000"/>
                <w:kern w:val="0"/>
                <w:szCs w:val="21"/>
              </w:rPr>
              <w:t>未建立工程质量责任登记制度</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8分</w:t>
            </w:r>
          </w:p>
        </w:tc>
        <w:tc>
          <w:tcPr>
            <w:tcW w:w="1018" w:type="pct"/>
            <w:tcMar>
              <w:left w:w="57" w:type="dxa"/>
              <w:right w:w="57" w:type="dxa"/>
            </w:tcMar>
            <w:vAlign w:val="center"/>
          </w:tcPr>
          <w:p>
            <w:pPr>
              <w:jc w:val="center"/>
              <w:rPr>
                <w:color w:val="000000"/>
                <w:kern w:val="0"/>
                <w:szCs w:val="21"/>
              </w:rPr>
            </w:pPr>
            <w:r>
              <w:rPr>
                <w:color w:val="000000"/>
                <w:kern w:val="0"/>
                <w:szCs w:val="21"/>
              </w:rPr>
              <w:t>核查相关材料或台账</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GLSG2-3-6</w:t>
            </w:r>
          </w:p>
        </w:tc>
        <w:tc>
          <w:tcPr>
            <w:tcW w:w="631" w:type="pct"/>
            <w:tcMar>
              <w:left w:w="57" w:type="dxa"/>
              <w:right w:w="57" w:type="dxa"/>
            </w:tcMar>
            <w:vAlign w:val="center"/>
          </w:tcPr>
          <w:p>
            <w:pPr>
              <w:widowControl/>
              <w:jc w:val="center"/>
              <w:textAlignment w:val="center"/>
              <w:rPr>
                <w:color w:val="000000"/>
                <w:szCs w:val="21"/>
              </w:rPr>
            </w:pPr>
            <w:r>
              <w:rPr>
                <w:color w:val="000000"/>
                <w:szCs w:val="21"/>
              </w:rPr>
              <w:t>建筑材料不合格</w:t>
            </w:r>
          </w:p>
        </w:tc>
        <w:tc>
          <w:tcPr>
            <w:tcW w:w="1376" w:type="pct"/>
            <w:tcMar>
              <w:left w:w="57" w:type="dxa"/>
              <w:right w:w="57" w:type="dxa"/>
            </w:tcMar>
            <w:vAlign w:val="center"/>
          </w:tcPr>
          <w:p>
            <w:pPr>
              <w:widowControl/>
              <w:textAlignment w:val="center"/>
              <w:rPr>
                <w:color w:val="000000"/>
                <w:szCs w:val="21"/>
              </w:rPr>
            </w:pPr>
            <w:r>
              <w:rPr>
                <w:color w:val="000000"/>
                <w:kern w:val="0"/>
                <w:szCs w:val="21"/>
              </w:rPr>
              <w:t>使用不合格的建筑材料、建筑构配件和设备</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10分/次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核查相关质检证明材料是否齐全</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GLSG2-3-7</w:t>
            </w:r>
          </w:p>
        </w:tc>
        <w:tc>
          <w:tcPr>
            <w:tcW w:w="631" w:type="pct"/>
            <w:tcMar>
              <w:left w:w="57" w:type="dxa"/>
              <w:right w:w="57" w:type="dxa"/>
            </w:tcMar>
            <w:vAlign w:val="center"/>
          </w:tcPr>
          <w:p>
            <w:pPr>
              <w:widowControl/>
              <w:jc w:val="center"/>
              <w:textAlignment w:val="center"/>
              <w:rPr>
                <w:color w:val="000000"/>
                <w:szCs w:val="21"/>
              </w:rPr>
            </w:pPr>
            <w:r>
              <w:rPr>
                <w:color w:val="000000"/>
                <w:szCs w:val="21"/>
              </w:rPr>
              <w:t>未按规定施工</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1.不按设计图纸施工</w:t>
            </w:r>
          </w:p>
          <w:p>
            <w:pPr>
              <w:widowControl/>
              <w:textAlignment w:val="center"/>
              <w:rPr>
                <w:color w:val="000000"/>
                <w:szCs w:val="21"/>
              </w:rPr>
            </w:pPr>
            <w:r>
              <w:rPr>
                <w:color w:val="000000"/>
                <w:kern w:val="0"/>
                <w:szCs w:val="21"/>
              </w:rPr>
              <w:t>2.不按施工技术标准、规范施工</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8分/次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核查施工设计、标准等材料与台账等</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GLSG2-3-8</w:t>
            </w:r>
          </w:p>
        </w:tc>
        <w:tc>
          <w:tcPr>
            <w:tcW w:w="631" w:type="pct"/>
            <w:tcMar>
              <w:left w:w="57" w:type="dxa"/>
              <w:right w:w="57" w:type="dxa"/>
            </w:tcMar>
            <w:vAlign w:val="center"/>
          </w:tcPr>
          <w:p>
            <w:pPr>
              <w:widowControl/>
              <w:jc w:val="center"/>
              <w:textAlignment w:val="center"/>
              <w:rPr>
                <w:color w:val="000000"/>
                <w:szCs w:val="21"/>
              </w:rPr>
            </w:pPr>
            <w:r>
              <w:rPr>
                <w:color w:val="000000"/>
                <w:szCs w:val="21"/>
              </w:rPr>
              <w:t>未经监理签认或不执行相关指令</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1.未经监理签认进入下道工序或分项工程</w:t>
            </w:r>
          </w:p>
          <w:p>
            <w:pPr>
              <w:widowControl/>
              <w:textAlignment w:val="center"/>
              <w:rPr>
                <w:color w:val="000000"/>
                <w:kern w:val="0"/>
                <w:szCs w:val="21"/>
              </w:rPr>
            </w:pPr>
            <w:r>
              <w:rPr>
                <w:color w:val="000000"/>
                <w:szCs w:val="21"/>
              </w:rPr>
              <w:t>2.</w:t>
            </w:r>
            <w:r>
              <w:rPr>
                <w:color w:val="000000"/>
                <w:kern w:val="0"/>
                <w:szCs w:val="21"/>
              </w:rPr>
              <w:t>未经监理签认将建筑材料、建筑构配件和设备在工程上使用或安装</w:t>
            </w:r>
          </w:p>
          <w:p>
            <w:pPr>
              <w:widowControl/>
              <w:textAlignment w:val="center"/>
              <w:rPr>
                <w:color w:val="000000"/>
                <w:szCs w:val="21"/>
              </w:rPr>
            </w:pPr>
            <w:r>
              <w:rPr>
                <w:color w:val="000000"/>
                <w:szCs w:val="21"/>
              </w:rPr>
              <w:t>3.</w:t>
            </w:r>
            <w:r>
              <w:rPr>
                <w:color w:val="000000"/>
                <w:kern w:val="0"/>
                <w:szCs w:val="21"/>
              </w:rPr>
              <w:t>监理下达停工指令拒不执行</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3分/次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核查相关证明材料、监理台账记录等</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GLSG2-3-9</w:t>
            </w:r>
          </w:p>
        </w:tc>
        <w:tc>
          <w:tcPr>
            <w:tcW w:w="631" w:type="pct"/>
            <w:tcMar>
              <w:left w:w="57" w:type="dxa"/>
              <w:right w:w="57" w:type="dxa"/>
            </w:tcMar>
            <w:vAlign w:val="center"/>
          </w:tcPr>
          <w:p>
            <w:pPr>
              <w:widowControl/>
              <w:jc w:val="center"/>
              <w:textAlignment w:val="center"/>
              <w:rPr>
                <w:color w:val="000000"/>
                <w:szCs w:val="21"/>
              </w:rPr>
            </w:pPr>
            <w:r>
              <w:rPr>
                <w:color w:val="000000"/>
                <w:szCs w:val="21"/>
              </w:rPr>
              <w:t>检验检测不合规</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1.未对建筑材料、建筑构配件、设备和商品混凝土进行检验</w:t>
            </w:r>
          </w:p>
          <w:p>
            <w:pPr>
              <w:widowControl/>
              <w:textAlignment w:val="center"/>
              <w:rPr>
                <w:color w:val="000000"/>
                <w:kern w:val="0"/>
                <w:szCs w:val="21"/>
              </w:rPr>
            </w:pPr>
            <w:r>
              <w:rPr>
                <w:color w:val="000000"/>
                <w:kern w:val="0"/>
                <w:szCs w:val="21"/>
              </w:rPr>
              <w:t>2.未对涉及结构安全的试块、试件以及有关材料取样检测直接使用</w:t>
            </w:r>
          </w:p>
          <w:p>
            <w:pPr>
              <w:widowControl/>
              <w:textAlignment w:val="center"/>
              <w:rPr>
                <w:color w:val="000000"/>
                <w:szCs w:val="21"/>
              </w:rPr>
            </w:pPr>
            <w:r>
              <w:rPr>
                <w:color w:val="000000"/>
                <w:kern w:val="0"/>
                <w:szCs w:val="21"/>
              </w:rPr>
              <w:t>3.工程检查中抽测实体质量不合格</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5分/次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核查检验检测证明材料、台账记录等</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GLSG2-3-10</w:t>
            </w:r>
          </w:p>
        </w:tc>
        <w:tc>
          <w:tcPr>
            <w:tcW w:w="631" w:type="pct"/>
            <w:tcMar>
              <w:left w:w="57" w:type="dxa"/>
              <w:right w:w="57" w:type="dxa"/>
            </w:tcMar>
            <w:vAlign w:val="center"/>
          </w:tcPr>
          <w:p>
            <w:pPr>
              <w:widowControl/>
              <w:jc w:val="center"/>
              <w:textAlignment w:val="center"/>
              <w:rPr>
                <w:color w:val="000000"/>
                <w:szCs w:val="21"/>
              </w:rPr>
            </w:pPr>
            <w:r>
              <w:rPr>
                <w:color w:val="000000"/>
                <w:szCs w:val="21"/>
              </w:rPr>
              <w:t>材料使用不合规</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施工过程中偷工减料</w:t>
            </w:r>
          </w:p>
          <w:p>
            <w:pPr>
              <w:widowControl/>
              <w:textAlignment w:val="center"/>
              <w:rPr>
                <w:color w:val="000000"/>
                <w:szCs w:val="21"/>
              </w:rPr>
            </w:pPr>
            <w:r>
              <w:rPr>
                <w:color w:val="000000"/>
                <w:kern w:val="0"/>
                <w:szCs w:val="21"/>
              </w:rPr>
              <w:t>原材料堆放混乱，对使用质量造成较大影响</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5分/次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核查现场台账记录等</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认定标准合并或完善，避免重复、多扣分等情况发生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kern w:val="0"/>
                <w:szCs w:val="21"/>
              </w:rPr>
            </w:pPr>
            <w:r>
              <w:rPr>
                <w:color w:val="000000"/>
                <w:kern w:val="0"/>
                <w:szCs w:val="21"/>
              </w:rPr>
              <w:t>GLSG2-3-11</w:t>
            </w:r>
          </w:p>
        </w:tc>
        <w:tc>
          <w:tcPr>
            <w:tcW w:w="631" w:type="pct"/>
            <w:tcMar>
              <w:left w:w="57" w:type="dxa"/>
              <w:right w:w="57" w:type="dxa"/>
            </w:tcMar>
            <w:vAlign w:val="center"/>
          </w:tcPr>
          <w:p>
            <w:pPr>
              <w:widowControl/>
              <w:jc w:val="center"/>
              <w:textAlignment w:val="center"/>
              <w:rPr>
                <w:color w:val="000000"/>
                <w:szCs w:val="21"/>
              </w:rPr>
            </w:pPr>
            <w:r>
              <w:rPr>
                <w:color w:val="000000"/>
                <w:szCs w:val="21"/>
              </w:rPr>
              <w:t>质量问题整改不到位</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出现质量问题经整改仍达不到要求的</w:t>
            </w:r>
          </w:p>
        </w:tc>
        <w:tc>
          <w:tcPr>
            <w:tcW w:w="458" w:type="pct"/>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核查整改情况或记录</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kern w:val="0"/>
                <w:szCs w:val="21"/>
              </w:rPr>
            </w:pPr>
            <w:r>
              <w:rPr>
                <w:color w:val="000000"/>
                <w:kern w:val="0"/>
                <w:szCs w:val="21"/>
              </w:rPr>
              <w:t>GLSG2-3-12</w:t>
            </w:r>
          </w:p>
        </w:tc>
        <w:tc>
          <w:tcPr>
            <w:tcW w:w="631" w:type="pct"/>
            <w:tcMar>
              <w:left w:w="57" w:type="dxa"/>
              <w:right w:w="57" w:type="dxa"/>
            </w:tcMar>
            <w:vAlign w:val="center"/>
          </w:tcPr>
          <w:p>
            <w:pPr>
              <w:widowControl/>
              <w:jc w:val="center"/>
              <w:textAlignment w:val="center"/>
              <w:rPr>
                <w:color w:val="000000"/>
                <w:szCs w:val="21"/>
              </w:rPr>
            </w:pPr>
            <w:r>
              <w:rPr>
                <w:color w:val="000000"/>
                <w:szCs w:val="21"/>
              </w:rPr>
              <w:t>施工事故</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因施工原因发生一般质量责任事故</w:t>
            </w:r>
          </w:p>
        </w:tc>
        <w:tc>
          <w:tcPr>
            <w:tcW w:w="458" w:type="pct"/>
            <w:tcMar>
              <w:left w:w="57" w:type="dxa"/>
              <w:right w:w="57" w:type="dxa"/>
            </w:tcMar>
            <w:vAlign w:val="center"/>
          </w:tcPr>
          <w:p>
            <w:pPr>
              <w:widowControl/>
              <w:jc w:val="center"/>
              <w:textAlignment w:val="center"/>
              <w:rPr>
                <w:color w:val="000000"/>
                <w:kern w:val="0"/>
                <w:szCs w:val="21"/>
              </w:rPr>
            </w:pPr>
            <w:r>
              <w:rPr>
                <w:color w:val="000000"/>
                <w:kern w:val="0"/>
                <w:szCs w:val="21"/>
              </w:rPr>
              <w:t>15分/次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核查事故等级</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855"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GLSG2-3-13</w:t>
            </w:r>
          </w:p>
        </w:tc>
        <w:tc>
          <w:tcPr>
            <w:tcW w:w="631" w:type="pct"/>
            <w:tcMar>
              <w:left w:w="57" w:type="dxa"/>
              <w:right w:w="57" w:type="dxa"/>
            </w:tcMar>
            <w:vAlign w:val="center"/>
          </w:tcPr>
          <w:p>
            <w:pPr>
              <w:widowControl/>
              <w:jc w:val="center"/>
              <w:textAlignment w:val="center"/>
              <w:rPr>
                <w:color w:val="000000"/>
                <w:szCs w:val="21"/>
              </w:rPr>
            </w:pPr>
            <w:r>
              <w:rPr>
                <w:color w:val="000000"/>
                <w:szCs w:val="21"/>
              </w:rPr>
              <w:t>现场管理混乱</w:t>
            </w:r>
          </w:p>
        </w:tc>
        <w:tc>
          <w:tcPr>
            <w:tcW w:w="1376" w:type="pct"/>
            <w:tcMar>
              <w:left w:w="57" w:type="dxa"/>
              <w:right w:w="57" w:type="dxa"/>
            </w:tcMar>
            <w:vAlign w:val="center"/>
          </w:tcPr>
          <w:p>
            <w:pPr>
              <w:widowControl/>
              <w:textAlignment w:val="center"/>
              <w:rPr>
                <w:color w:val="000000"/>
                <w:szCs w:val="21"/>
              </w:rPr>
            </w:pPr>
            <w:r>
              <w:rPr>
                <w:color w:val="000000"/>
                <w:kern w:val="0"/>
                <w:szCs w:val="21"/>
              </w:rPr>
              <w:t>施工现场管理混乱、场地交叉作业等</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2分/次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核查台账记录</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细化评定标准、减少重复扣分。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855"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GLSG2-3-14</w:t>
            </w:r>
          </w:p>
        </w:tc>
        <w:tc>
          <w:tcPr>
            <w:tcW w:w="631" w:type="pct"/>
            <w:tcMar>
              <w:left w:w="57" w:type="dxa"/>
              <w:right w:w="57" w:type="dxa"/>
            </w:tcMar>
            <w:vAlign w:val="center"/>
          </w:tcPr>
          <w:p>
            <w:pPr>
              <w:widowControl/>
              <w:jc w:val="center"/>
              <w:textAlignment w:val="center"/>
              <w:rPr>
                <w:color w:val="000000"/>
                <w:szCs w:val="21"/>
              </w:rPr>
            </w:pPr>
            <w:r>
              <w:rPr>
                <w:color w:val="000000"/>
                <w:szCs w:val="21"/>
              </w:rPr>
              <w:t>内业材料不合规</w:t>
            </w:r>
          </w:p>
        </w:tc>
        <w:tc>
          <w:tcPr>
            <w:tcW w:w="1376" w:type="pct"/>
            <w:tcMar>
              <w:left w:w="57" w:type="dxa"/>
              <w:right w:w="57" w:type="dxa"/>
            </w:tcMar>
            <w:vAlign w:val="center"/>
          </w:tcPr>
          <w:p>
            <w:pPr>
              <w:widowControl/>
              <w:textAlignment w:val="center"/>
              <w:rPr>
                <w:color w:val="000000"/>
                <w:kern w:val="0"/>
                <w:szCs w:val="21"/>
              </w:rPr>
            </w:pPr>
            <w:r>
              <w:rPr>
                <w:color w:val="000000"/>
                <w:kern w:val="0"/>
                <w:szCs w:val="21"/>
              </w:rPr>
              <w:t>内业资料不全或不规范；</w:t>
            </w:r>
          </w:p>
          <w:p>
            <w:pPr>
              <w:widowControl/>
              <w:textAlignment w:val="center"/>
              <w:rPr>
                <w:color w:val="000000"/>
                <w:szCs w:val="21"/>
              </w:rPr>
            </w:pPr>
            <w:r>
              <w:rPr>
                <w:color w:val="000000"/>
                <w:kern w:val="0"/>
                <w:szCs w:val="21"/>
              </w:rPr>
              <w:t>竣工资料不全或不规范等</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1-2分</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核查相关内业资料或相关证明材料</w:t>
            </w:r>
          </w:p>
        </w:tc>
        <w:tc>
          <w:tcPr>
            <w:tcW w:w="680" w:type="pct"/>
            <w:tcMar>
              <w:left w:w="57" w:type="dxa"/>
              <w:right w:w="57" w:type="dxa"/>
            </w:tcMar>
            <w:vAlign w:val="center"/>
          </w:tcPr>
          <w:p>
            <w:pPr>
              <w:widowControl/>
              <w:jc w:val="center"/>
              <w:textAlignment w:val="center"/>
              <w:rPr>
                <w:color w:val="000000"/>
                <w:kern w:val="0"/>
                <w:szCs w:val="21"/>
              </w:rPr>
            </w:pPr>
            <w:r>
              <w:rPr>
                <w:color w:val="000000"/>
                <w:kern w:val="0"/>
                <w:szCs w:val="21"/>
              </w:rPr>
              <w:t>单设“竣工资料管理”相应扣分标准。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center"/>
              <w:rPr>
                <w:color w:val="000000"/>
                <w:szCs w:val="21"/>
              </w:rPr>
            </w:pPr>
            <w:r>
              <w:rPr>
                <w:color w:val="000000"/>
                <w:kern w:val="0"/>
                <w:szCs w:val="21"/>
              </w:rPr>
              <w:t>GLSG2-3-15</w:t>
            </w:r>
          </w:p>
        </w:tc>
        <w:tc>
          <w:tcPr>
            <w:tcW w:w="631" w:type="pct"/>
            <w:tcMar>
              <w:left w:w="57" w:type="dxa"/>
              <w:right w:w="57" w:type="dxa"/>
            </w:tcMar>
            <w:vAlign w:val="center"/>
          </w:tcPr>
          <w:p>
            <w:pPr>
              <w:widowControl/>
              <w:jc w:val="center"/>
              <w:textAlignment w:val="center"/>
              <w:rPr>
                <w:color w:val="000000"/>
                <w:szCs w:val="21"/>
              </w:rPr>
            </w:pPr>
            <w:r>
              <w:rPr>
                <w:color w:val="000000"/>
                <w:szCs w:val="21"/>
              </w:rPr>
              <w:t>工地试验室不合规</w:t>
            </w:r>
          </w:p>
        </w:tc>
        <w:tc>
          <w:tcPr>
            <w:tcW w:w="1376" w:type="pct"/>
            <w:tcMar>
              <w:left w:w="57" w:type="dxa"/>
              <w:right w:w="57" w:type="dxa"/>
            </w:tcMar>
            <w:vAlign w:val="center"/>
          </w:tcPr>
          <w:p>
            <w:pPr>
              <w:widowControl/>
              <w:textAlignment w:val="center"/>
              <w:rPr>
                <w:color w:val="000000"/>
                <w:szCs w:val="21"/>
              </w:rPr>
            </w:pPr>
            <w:r>
              <w:rPr>
                <w:color w:val="000000"/>
                <w:kern w:val="0"/>
                <w:szCs w:val="21"/>
              </w:rPr>
              <w:t>工地试验室不符合要求</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1-3分</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核查工地试验室试验标准是否合规</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855"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GLSG2-3-16</w:t>
            </w:r>
          </w:p>
        </w:tc>
        <w:tc>
          <w:tcPr>
            <w:tcW w:w="631" w:type="pct"/>
            <w:tcMar>
              <w:left w:w="57" w:type="dxa"/>
              <w:right w:w="57" w:type="dxa"/>
            </w:tcMar>
            <w:vAlign w:val="center"/>
          </w:tcPr>
          <w:p>
            <w:pPr>
              <w:widowControl/>
              <w:jc w:val="center"/>
              <w:textAlignment w:val="center"/>
              <w:rPr>
                <w:color w:val="000000"/>
                <w:szCs w:val="21"/>
              </w:rPr>
            </w:pPr>
            <w:r>
              <w:rPr>
                <w:color w:val="000000"/>
                <w:szCs w:val="21"/>
              </w:rPr>
              <w:t>数据虚假</w:t>
            </w:r>
          </w:p>
        </w:tc>
        <w:tc>
          <w:tcPr>
            <w:tcW w:w="1376" w:type="pct"/>
            <w:tcMar>
              <w:left w:w="57" w:type="dxa"/>
              <w:right w:w="57" w:type="dxa"/>
            </w:tcMar>
            <w:vAlign w:val="center"/>
          </w:tcPr>
          <w:p>
            <w:pPr>
              <w:widowControl/>
              <w:textAlignment w:val="center"/>
              <w:rPr>
                <w:color w:val="000000"/>
                <w:szCs w:val="21"/>
              </w:rPr>
            </w:pPr>
            <w:r>
              <w:rPr>
                <w:color w:val="000000"/>
                <w:kern w:val="0"/>
                <w:szCs w:val="21"/>
              </w:rPr>
              <w:t>试验检测数据或内业资料虚假</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5分/次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抽查检查试验检测数据、权威机构出具证明等</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GLSG2-3-17</w:t>
            </w:r>
          </w:p>
        </w:tc>
        <w:tc>
          <w:tcPr>
            <w:tcW w:w="631" w:type="pct"/>
            <w:tcMar>
              <w:left w:w="57" w:type="dxa"/>
              <w:right w:w="57" w:type="dxa"/>
            </w:tcMar>
            <w:vAlign w:val="center"/>
          </w:tcPr>
          <w:p>
            <w:pPr>
              <w:widowControl/>
              <w:jc w:val="center"/>
              <w:textAlignment w:val="center"/>
              <w:rPr>
                <w:color w:val="000000"/>
                <w:szCs w:val="21"/>
              </w:rPr>
            </w:pPr>
            <w:r>
              <w:rPr>
                <w:color w:val="000000"/>
                <w:szCs w:val="21"/>
              </w:rPr>
              <w:t>延误工期</w:t>
            </w:r>
          </w:p>
        </w:tc>
        <w:tc>
          <w:tcPr>
            <w:tcW w:w="1376" w:type="pct"/>
            <w:tcMar>
              <w:left w:w="57" w:type="dxa"/>
              <w:right w:w="57" w:type="dxa"/>
            </w:tcMar>
            <w:vAlign w:val="center"/>
          </w:tcPr>
          <w:p>
            <w:pPr>
              <w:widowControl/>
              <w:textAlignment w:val="center"/>
              <w:rPr>
                <w:color w:val="000000"/>
                <w:szCs w:val="21"/>
              </w:rPr>
            </w:pPr>
            <w:r>
              <w:rPr>
                <w:color w:val="000000"/>
                <w:kern w:val="0"/>
                <w:szCs w:val="21"/>
              </w:rPr>
              <w:t>因施工单位原因造成工程进度滞后计划工期或合同工期</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1分/延迟十日</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核查施工台账、合同</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GLSG2-3-18</w:t>
            </w:r>
          </w:p>
        </w:tc>
        <w:tc>
          <w:tcPr>
            <w:tcW w:w="631" w:type="pct"/>
            <w:tcMar>
              <w:left w:w="57" w:type="dxa"/>
              <w:right w:w="57" w:type="dxa"/>
            </w:tcMar>
            <w:vAlign w:val="center"/>
          </w:tcPr>
          <w:p>
            <w:pPr>
              <w:widowControl/>
              <w:jc w:val="center"/>
              <w:textAlignment w:val="center"/>
              <w:rPr>
                <w:color w:val="000000"/>
                <w:szCs w:val="21"/>
              </w:rPr>
            </w:pPr>
            <w:r>
              <w:rPr>
                <w:color w:val="000000"/>
                <w:szCs w:val="21"/>
              </w:rPr>
              <w:t>完工未达到质量要求</w:t>
            </w:r>
          </w:p>
        </w:tc>
        <w:tc>
          <w:tcPr>
            <w:tcW w:w="1376" w:type="pct"/>
            <w:tcMar>
              <w:left w:w="57" w:type="dxa"/>
              <w:right w:w="57" w:type="dxa"/>
            </w:tcMar>
            <w:vAlign w:val="center"/>
          </w:tcPr>
          <w:p>
            <w:pPr>
              <w:widowControl/>
              <w:textAlignment w:val="center"/>
              <w:rPr>
                <w:color w:val="000000"/>
                <w:szCs w:val="21"/>
              </w:rPr>
            </w:pPr>
            <w:r>
              <w:rPr>
                <w:color w:val="000000"/>
                <w:kern w:val="0"/>
                <w:szCs w:val="21"/>
              </w:rPr>
              <w:t>未达到合同约定的质量标准</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10分</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核查质量标准以及相关证明材料</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GLSG2-3-19</w:t>
            </w:r>
          </w:p>
        </w:tc>
        <w:tc>
          <w:tcPr>
            <w:tcW w:w="631" w:type="pct"/>
            <w:tcMar>
              <w:left w:w="57" w:type="dxa"/>
              <w:right w:w="57" w:type="dxa"/>
            </w:tcMar>
            <w:vAlign w:val="center"/>
          </w:tcPr>
          <w:p>
            <w:pPr>
              <w:widowControl/>
              <w:jc w:val="center"/>
              <w:textAlignment w:val="center"/>
              <w:rPr>
                <w:color w:val="000000"/>
                <w:szCs w:val="21"/>
              </w:rPr>
            </w:pPr>
            <w:r>
              <w:rPr>
                <w:color w:val="000000"/>
                <w:szCs w:val="21"/>
              </w:rPr>
              <w:t>未合规验收</w:t>
            </w:r>
          </w:p>
        </w:tc>
        <w:tc>
          <w:tcPr>
            <w:tcW w:w="1376" w:type="pct"/>
            <w:tcMar>
              <w:left w:w="57" w:type="dxa"/>
              <w:right w:w="57" w:type="dxa"/>
            </w:tcMar>
            <w:vAlign w:val="center"/>
          </w:tcPr>
          <w:p>
            <w:pPr>
              <w:widowControl/>
              <w:textAlignment w:val="center"/>
              <w:rPr>
                <w:color w:val="000000"/>
                <w:szCs w:val="21"/>
              </w:rPr>
            </w:pPr>
            <w:r>
              <w:rPr>
                <w:color w:val="000000"/>
                <w:kern w:val="0"/>
                <w:szCs w:val="21"/>
              </w:rPr>
              <w:t>不配合建设单位进行交工验收</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3分/次</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核查是否有验收证明材料</w:t>
            </w:r>
          </w:p>
        </w:tc>
        <w:tc>
          <w:tcPr>
            <w:tcW w:w="680"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GLSG2-3-20</w:t>
            </w:r>
          </w:p>
        </w:tc>
        <w:tc>
          <w:tcPr>
            <w:tcW w:w="631" w:type="pct"/>
            <w:tcMar>
              <w:left w:w="57" w:type="dxa"/>
              <w:right w:w="57" w:type="dxa"/>
            </w:tcMar>
            <w:vAlign w:val="center"/>
          </w:tcPr>
          <w:p>
            <w:pPr>
              <w:widowControl/>
              <w:jc w:val="center"/>
              <w:textAlignment w:val="center"/>
              <w:rPr>
                <w:color w:val="000000"/>
                <w:szCs w:val="21"/>
              </w:rPr>
            </w:pPr>
            <w:r>
              <w:rPr>
                <w:color w:val="000000"/>
                <w:szCs w:val="21"/>
              </w:rPr>
              <w:t>不履约保修</w:t>
            </w:r>
          </w:p>
        </w:tc>
        <w:tc>
          <w:tcPr>
            <w:tcW w:w="1376" w:type="pct"/>
            <w:tcMar>
              <w:left w:w="57" w:type="dxa"/>
              <w:right w:w="57" w:type="dxa"/>
            </w:tcMar>
            <w:vAlign w:val="center"/>
          </w:tcPr>
          <w:p>
            <w:pPr>
              <w:widowControl/>
              <w:textAlignment w:val="center"/>
              <w:rPr>
                <w:color w:val="000000"/>
                <w:szCs w:val="21"/>
              </w:rPr>
            </w:pPr>
            <w:r>
              <w:rPr>
                <w:color w:val="000000"/>
                <w:kern w:val="0"/>
                <w:szCs w:val="21"/>
              </w:rPr>
              <w:t>不履行合同约定的保修义务</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直接定为D级</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核查是否履行保修义务，不保修投诉</w:t>
            </w:r>
          </w:p>
        </w:tc>
        <w:tc>
          <w:tcPr>
            <w:tcW w:w="680" w:type="pct"/>
            <w:vMerge w:val="restart"/>
            <w:tcMar>
              <w:left w:w="57" w:type="dxa"/>
              <w:right w:w="57" w:type="dxa"/>
            </w:tcMar>
            <w:vAlign w:val="center"/>
          </w:tcPr>
          <w:p>
            <w:pPr>
              <w:widowControl/>
              <w:jc w:val="center"/>
              <w:textAlignment w:val="center"/>
              <w:rPr>
                <w:color w:val="000000"/>
                <w:kern w:val="0"/>
                <w:szCs w:val="21"/>
              </w:rPr>
            </w:pPr>
            <w:r>
              <w:rPr>
                <w:color w:val="000000"/>
                <w:kern w:val="0"/>
                <w:szCs w:val="21"/>
              </w:rPr>
              <w:t>对不履行保修义务的可以直接评定为D级，对拖延履行保修义务的提高扣分标准。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Mar>
              <w:left w:w="57" w:type="dxa"/>
              <w:right w:w="57" w:type="dxa"/>
            </w:tcMar>
            <w:vAlign w:val="center"/>
          </w:tcPr>
          <w:p>
            <w:pPr>
              <w:jc w:val="center"/>
              <w:rPr>
                <w:color w:val="000000"/>
                <w:szCs w:val="21"/>
              </w:rPr>
            </w:pPr>
          </w:p>
        </w:tc>
        <w:tc>
          <w:tcPr>
            <w:tcW w:w="474" w:type="pct"/>
            <w:tcMar>
              <w:left w:w="57" w:type="dxa"/>
              <w:right w:w="57" w:type="dxa"/>
            </w:tcMar>
            <w:vAlign w:val="center"/>
          </w:tcPr>
          <w:p>
            <w:pPr>
              <w:widowControl/>
              <w:jc w:val="center"/>
              <w:textAlignment w:val="top"/>
              <w:rPr>
                <w:color w:val="000000"/>
                <w:szCs w:val="21"/>
              </w:rPr>
            </w:pPr>
            <w:r>
              <w:rPr>
                <w:color w:val="000000"/>
                <w:kern w:val="0"/>
                <w:szCs w:val="21"/>
              </w:rPr>
              <w:t>GLSG2-3-21</w:t>
            </w:r>
          </w:p>
        </w:tc>
        <w:tc>
          <w:tcPr>
            <w:tcW w:w="631" w:type="pct"/>
            <w:tcMar>
              <w:left w:w="57" w:type="dxa"/>
              <w:right w:w="57" w:type="dxa"/>
            </w:tcMar>
            <w:vAlign w:val="center"/>
          </w:tcPr>
          <w:p>
            <w:pPr>
              <w:widowControl/>
              <w:jc w:val="center"/>
              <w:textAlignment w:val="center"/>
              <w:rPr>
                <w:color w:val="000000"/>
                <w:szCs w:val="21"/>
              </w:rPr>
            </w:pPr>
            <w:r>
              <w:rPr>
                <w:color w:val="000000"/>
                <w:szCs w:val="21"/>
              </w:rPr>
              <w:t>拖延保修</w:t>
            </w:r>
          </w:p>
        </w:tc>
        <w:tc>
          <w:tcPr>
            <w:tcW w:w="1376" w:type="pct"/>
            <w:tcMar>
              <w:left w:w="57" w:type="dxa"/>
              <w:right w:w="57" w:type="dxa"/>
            </w:tcMar>
            <w:vAlign w:val="center"/>
          </w:tcPr>
          <w:p>
            <w:pPr>
              <w:widowControl/>
              <w:textAlignment w:val="center"/>
              <w:rPr>
                <w:color w:val="000000"/>
                <w:szCs w:val="21"/>
              </w:rPr>
            </w:pPr>
            <w:r>
              <w:rPr>
                <w:color w:val="000000"/>
                <w:kern w:val="0"/>
                <w:szCs w:val="21"/>
              </w:rPr>
              <w:t>拖延履行合同约定的保修义务</w:t>
            </w:r>
          </w:p>
        </w:tc>
        <w:tc>
          <w:tcPr>
            <w:tcW w:w="458" w:type="pct"/>
            <w:tcMar>
              <w:left w:w="57" w:type="dxa"/>
              <w:right w:w="57" w:type="dxa"/>
            </w:tcMar>
            <w:vAlign w:val="center"/>
          </w:tcPr>
          <w:p>
            <w:pPr>
              <w:widowControl/>
              <w:jc w:val="center"/>
              <w:textAlignment w:val="center"/>
              <w:rPr>
                <w:color w:val="000000"/>
                <w:szCs w:val="21"/>
              </w:rPr>
            </w:pPr>
            <w:r>
              <w:rPr>
                <w:color w:val="000000"/>
                <w:kern w:val="0"/>
                <w:szCs w:val="21"/>
              </w:rPr>
              <w:t>12分</w:t>
            </w:r>
          </w:p>
        </w:tc>
        <w:tc>
          <w:tcPr>
            <w:tcW w:w="1018" w:type="pct"/>
            <w:tcMar>
              <w:left w:w="57" w:type="dxa"/>
              <w:right w:w="57" w:type="dxa"/>
            </w:tcMar>
            <w:vAlign w:val="center"/>
          </w:tcPr>
          <w:p>
            <w:pPr>
              <w:widowControl/>
              <w:jc w:val="center"/>
              <w:textAlignment w:val="center"/>
              <w:rPr>
                <w:color w:val="000000"/>
                <w:kern w:val="0"/>
                <w:szCs w:val="21"/>
              </w:rPr>
            </w:pPr>
            <w:r>
              <w:rPr>
                <w:color w:val="000000"/>
                <w:kern w:val="0"/>
                <w:szCs w:val="21"/>
              </w:rPr>
              <w:t>核查是否存在保修拖延投诉</w:t>
            </w:r>
          </w:p>
        </w:tc>
        <w:tc>
          <w:tcPr>
            <w:tcW w:w="680" w:type="pct"/>
            <w:vMerge w:val="continue"/>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restart"/>
            <w:tcBorders>
              <w:top w:val="single" w:color="000000" w:sz="4" w:space="0"/>
              <w:left w:val="single" w:color="000000" w:sz="12" w:space="0"/>
              <w:right w:val="single" w:color="000000" w:sz="4" w:space="0"/>
            </w:tcBorders>
            <w:tcMar>
              <w:left w:w="57" w:type="dxa"/>
              <w:right w:w="57" w:type="dxa"/>
            </w:tcMar>
            <w:vAlign w:val="center"/>
          </w:tcPr>
          <w:p>
            <w:pPr>
              <w:jc w:val="center"/>
              <w:rPr>
                <w:color w:val="000000"/>
                <w:szCs w:val="21"/>
              </w:rPr>
            </w:pPr>
            <w:r>
              <w:rPr>
                <w:b/>
                <w:bCs/>
                <w:color w:val="000000"/>
                <w:szCs w:val="21"/>
              </w:rPr>
              <w:t>财务管理（10分）</w:t>
            </w:r>
          </w:p>
          <w:p>
            <w:pPr>
              <w:jc w:val="center"/>
              <w:rPr>
                <w:color w:val="000000"/>
                <w:szCs w:val="21"/>
              </w:rPr>
            </w:pPr>
          </w:p>
          <w:p>
            <w:pPr>
              <w:jc w:val="center"/>
              <w:rPr>
                <w:color w:val="000000"/>
                <w:szCs w:val="21"/>
              </w:rPr>
            </w:pPr>
            <w:r>
              <w:rPr>
                <w:b/>
                <w:bCs/>
                <w:color w:val="000000"/>
                <w:szCs w:val="21"/>
              </w:rPr>
              <w:t>GLSG2-4</w:t>
            </w: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GLSG2-4-1</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财务制度不健全</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财务管理制度不健全、不规范</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5-8分/次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核查相关材料制度材料</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GLSG2-4-2</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财务台账不健全</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财务管理混乱，管理台帐不完备</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核查相关材料制度、台账</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GLSG2-4-3</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工程变更弄虚作假</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工程变更不按规定要求弄虚作假</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6分/次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核查台账等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GLSG2-4-4</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虚假计量</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虚假计量</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核查台账等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GLSG2-4-5</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流动资金不满足要求</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按合同甲方资金保障到位情况下，施工方流动资金不能满足工程建设</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核查流动资金情况</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GLSG2-4-6</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挪用工程款</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挪用工程款，造成管理混乱、进度滞后等不良影响</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调查是否存在挪用工程款现象</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GLSG2-4-7</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拖欠款项</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因施工企业原因拖欠工程款、农民工工资、材料款，尚未造成影响</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0.5分/次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调查或抽查是否存在拖欠款项情况</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restart"/>
            <w:tcBorders>
              <w:top w:val="single" w:color="000000" w:sz="4" w:space="0"/>
              <w:left w:val="single" w:color="000000" w:sz="12" w:space="0"/>
              <w:right w:val="single" w:color="000000" w:sz="4" w:space="0"/>
            </w:tcBorders>
            <w:tcMar>
              <w:left w:w="57" w:type="dxa"/>
              <w:right w:w="57" w:type="dxa"/>
            </w:tcMar>
            <w:vAlign w:val="center"/>
          </w:tcPr>
          <w:p>
            <w:pPr>
              <w:jc w:val="center"/>
              <w:rPr>
                <w:color w:val="000000"/>
                <w:szCs w:val="21"/>
              </w:rPr>
            </w:pPr>
            <w:r>
              <w:rPr>
                <w:b/>
                <w:bCs/>
                <w:color w:val="000000"/>
                <w:szCs w:val="21"/>
              </w:rPr>
              <w:t>安全生产（20分）</w:t>
            </w:r>
          </w:p>
          <w:p>
            <w:pPr>
              <w:jc w:val="center"/>
              <w:rPr>
                <w:color w:val="000000"/>
                <w:szCs w:val="21"/>
              </w:rPr>
            </w:pPr>
          </w:p>
          <w:p>
            <w:pPr>
              <w:jc w:val="center"/>
              <w:rPr>
                <w:b/>
                <w:bCs/>
                <w:color w:val="000000"/>
                <w:szCs w:val="21"/>
              </w:rPr>
            </w:pPr>
            <w:r>
              <w:rPr>
                <w:b/>
                <w:bCs/>
                <w:color w:val="000000"/>
                <w:szCs w:val="21"/>
              </w:rPr>
              <w:t>GLSG2-5</w:t>
            </w: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未签安全生产合同</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因施工企业原因未签订安全生产合同</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核查是否有安全生产合同</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安全生产规章制度不健全</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未建立健全安全生产规章制度、操作规程或安全生产保证体系</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1-3分</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核查安全生产制度文件</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GLSG2-5-3</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不合规上岗</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项目负责人、专职安全生产管理人员、作业人员或者特种作业人员，未经安全教育培训或考核不合格即从事相关工作</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核查是否开展培训等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GLSG2-5-4</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未培训或告知安全事项</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未对职工进行安全生产教育和培训，或者未如实告知有关安全生产事项</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核查台账记录和培训通知文件等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GLSG2-5-5</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安全标识和消防设备不合规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未在施工现场的危险部位设置明显的安全警示标志和安全防护，或者未按照国家有关规定在施工现场设置消防通道、消防水源、配备消防设施和灭火器材</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核查现场安全标识、消防设备等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GLSG2-5-6</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防护用具和服装不齐备</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未向作业人员提供安全防护用具和安全防护服装</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核查现场防护用具是否齐全</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GLSG2-5-7</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违法违规使用不合格工艺、设备</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1.特种设备未经具有专业资质的机构检测、检验合格，取得安全使用证或者安全标志，投入使用</w:t>
            </w:r>
          </w:p>
          <w:p>
            <w:pPr>
              <w:widowControl/>
              <w:textAlignment w:val="center"/>
              <w:rPr>
                <w:color w:val="000000"/>
                <w:kern w:val="0"/>
                <w:szCs w:val="21"/>
              </w:rPr>
            </w:pPr>
            <w:r>
              <w:rPr>
                <w:color w:val="000000"/>
                <w:kern w:val="0"/>
                <w:szCs w:val="21"/>
              </w:rPr>
              <w:t>2.使用未经验收或者验收不合格的施工起重机械和整体提升脚手架、模板等自升式架设设施</w:t>
            </w:r>
          </w:p>
          <w:p>
            <w:pPr>
              <w:widowControl/>
              <w:textAlignment w:val="center"/>
              <w:rPr>
                <w:color w:val="000000"/>
                <w:kern w:val="0"/>
                <w:szCs w:val="21"/>
              </w:rPr>
            </w:pPr>
            <w:r>
              <w:rPr>
                <w:color w:val="000000"/>
                <w:kern w:val="0"/>
                <w:szCs w:val="21"/>
              </w:rPr>
              <w:t>3.使用国家明令淘汰、禁止使用的危及生产安全的工艺、设备</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核查相关设施设备的检验检测证书等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GLSG2-5-8</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安全管理不合规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储存、使用危险物品，未建立专门安全管理制度、未采取可靠的安全措施或者不接受有关主管部门依法实施的监督管理</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4分/次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核查安全管理制度证明材料</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GLSG2-5-9</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重大安全管理制度缺乏</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对重大危险源未登记建档，或者未进行评估、监控，或者未制定应急预案</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4分/次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核查重大危险源台账记录，</w:t>
            </w:r>
          </w:p>
          <w:p>
            <w:pPr>
              <w:widowControl/>
              <w:jc w:val="center"/>
              <w:textAlignment w:val="center"/>
              <w:rPr>
                <w:color w:val="000000"/>
                <w:kern w:val="0"/>
                <w:szCs w:val="21"/>
              </w:rPr>
            </w:pPr>
            <w:r>
              <w:rPr>
                <w:color w:val="000000"/>
                <w:kern w:val="0"/>
                <w:szCs w:val="21"/>
              </w:rPr>
              <w:t>应急预案等。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GLSG2-5-10</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未安排专门安全管理人员到岗</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进行爆破、吊装等危险作业，未安排专门管理人员进行现场安全管理</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核查、抽查专职管理人员到岗情况，核查台账记录</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GLSG2-5-11</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安全生产不合规定</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1.两个以上单位在同一作业区域内进行可能危及对方安全生产的生产经营活动</w:t>
            </w:r>
          </w:p>
          <w:p>
            <w:pPr>
              <w:widowControl/>
              <w:textAlignment w:val="center"/>
              <w:rPr>
                <w:color w:val="000000"/>
                <w:kern w:val="0"/>
                <w:szCs w:val="21"/>
              </w:rPr>
            </w:pPr>
            <w:r>
              <w:rPr>
                <w:color w:val="000000"/>
                <w:kern w:val="0"/>
                <w:szCs w:val="21"/>
              </w:rPr>
              <w:t>2.因自身原因未签订安全生产管理协议</w:t>
            </w:r>
          </w:p>
          <w:p>
            <w:pPr>
              <w:widowControl/>
              <w:textAlignment w:val="center"/>
              <w:rPr>
                <w:color w:val="000000"/>
                <w:kern w:val="0"/>
                <w:szCs w:val="21"/>
              </w:rPr>
            </w:pPr>
            <w:r>
              <w:rPr>
                <w:color w:val="000000"/>
                <w:kern w:val="0"/>
                <w:szCs w:val="21"/>
              </w:rPr>
              <w:t>3.未指定专职安全生产管理人员进行安全检查与协调</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核查安全生产作业台账或</w:t>
            </w:r>
          </w:p>
          <w:p>
            <w:pPr>
              <w:widowControl/>
              <w:jc w:val="center"/>
              <w:textAlignment w:val="center"/>
              <w:rPr>
                <w:color w:val="000000"/>
                <w:kern w:val="0"/>
                <w:szCs w:val="21"/>
              </w:rPr>
            </w:pPr>
            <w:r>
              <w:rPr>
                <w:color w:val="000000"/>
                <w:kern w:val="0"/>
                <w:szCs w:val="21"/>
              </w:rPr>
              <w:t>相关管理规定</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GLSG2-5-12</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施工现场安全不合规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1.储存、使用危险物品的车间、仓库与员工宿舍在同一座建筑内</w:t>
            </w:r>
          </w:p>
          <w:p>
            <w:pPr>
              <w:widowControl/>
              <w:textAlignment w:val="center"/>
              <w:rPr>
                <w:color w:val="000000"/>
                <w:kern w:val="0"/>
                <w:szCs w:val="21"/>
              </w:rPr>
            </w:pPr>
            <w:r>
              <w:rPr>
                <w:color w:val="000000"/>
                <w:kern w:val="0"/>
                <w:szCs w:val="21"/>
              </w:rPr>
              <w:t>2.与员工宿舍的距离不符合安全要求</w:t>
            </w:r>
          </w:p>
          <w:p>
            <w:pPr>
              <w:widowControl/>
              <w:textAlignment w:val="center"/>
              <w:rPr>
                <w:color w:val="000000"/>
                <w:kern w:val="0"/>
                <w:szCs w:val="21"/>
              </w:rPr>
            </w:pPr>
            <w:r>
              <w:rPr>
                <w:color w:val="000000"/>
                <w:kern w:val="0"/>
                <w:szCs w:val="21"/>
              </w:rPr>
              <w:t>3.施工现场和员工宿舍未设有符合紧急疏散需要、标志明显、保持畅通的出口</w:t>
            </w:r>
          </w:p>
          <w:p>
            <w:pPr>
              <w:widowControl/>
              <w:textAlignment w:val="center"/>
              <w:rPr>
                <w:color w:val="000000"/>
                <w:kern w:val="0"/>
                <w:szCs w:val="21"/>
              </w:rPr>
            </w:pPr>
            <w:r>
              <w:rPr>
                <w:color w:val="000000"/>
                <w:kern w:val="0"/>
                <w:szCs w:val="21"/>
              </w:rPr>
              <w:t>4.封闭、堵塞施工现场或者员工宿舍出口</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核查施工现场安全管理是否合规</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GLSG2-5-13</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人员违反安全规定</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从业人员不服从管理，违反安全生产规章制度或者操作规程</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调查人员安全管理规矩和</w:t>
            </w:r>
          </w:p>
          <w:p>
            <w:pPr>
              <w:widowControl/>
              <w:jc w:val="center"/>
              <w:textAlignment w:val="center"/>
              <w:rPr>
                <w:color w:val="000000"/>
                <w:kern w:val="0"/>
                <w:szCs w:val="21"/>
              </w:rPr>
            </w:pPr>
            <w:r>
              <w:rPr>
                <w:color w:val="000000"/>
                <w:kern w:val="0"/>
                <w:szCs w:val="21"/>
              </w:rPr>
              <w:t>操作规程情况</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GLSG2-5-14</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未及时报告安全事故</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未及时、如实报告生产安全事故</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核查安全事故处罚决定或</w:t>
            </w:r>
          </w:p>
          <w:p>
            <w:pPr>
              <w:widowControl/>
              <w:jc w:val="center"/>
              <w:textAlignment w:val="center"/>
              <w:rPr>
                <w:color w:val="000000"/>
                <w:kern w:val="0"/>
                <w:szCs w:val="21"/>
              </w:rPr>
            </w:pPr>
            <w:r>
              <w:rPr>
                <w:color w:val="000000"/>
                <w:kern w:val="0"/>
                <w:szCs w:val="21"/>
              </w:rPr>
              <w:t>相关台账记录</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GLSG2-5-15</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主要负责人未及时组织施救</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主要负责人在本单位发生重大生产安全事故时，不立即组织抢救或者在事故调查处理期间擅离职守或者逃匿</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核查安全事故处罚决定或</w:t>
            </w:r>
          </w:p>
          <w:p>
            <w:pPr>
              <w:widowControl/>
              <w:jc w:val="center"/>
              <w:textAlignment w:val="center"/>
              <w:rPr>
                <w:color w:val="000000"/>
                <w:kern w:val="0"/>
                <w:szCs w:val="21"/>
              </w:rPr>
            </w:pPr>
            <w:r>
              <w:rPr>
                <w:color w:val="000000"/>
                <w:kern w:val="0"/>
                <w:szCs w:val="21"/>
              </w:rPr>
              <w:t>相关台账记录</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GLSG2-5-16</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挪用安全所需费用</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挪用列入建设工程概算的安全生产作业环境及安全施工措施所需费用</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调查安全费用使用情况等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GLSG2-5-17</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未进行安全技术交底</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每项工程实施前，未进行安全生产技术交底</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核查台账记录</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GLSG2-5-18</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未采取安全措施</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未根据不同施工阶段和周围环境及季节、气候的变化，在施工现场采取相应的安全施工措施</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核查具体安全施工措施情况</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GLSG2-5-19</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违规搭建建筑物</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施工现场临时搭建的建筑物不符合安全使用要求</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核查是否有违规建筑物</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GLSG2-5-20</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未编制施工方案</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对危险性较大的工程未编制专项施工方案并附安全验算结果</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核查是否编制了施工方案</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GLSG2-5-21</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未采取防护措施</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未对因建设工程施工可能造成损害的毗邻建筑物、构筑物和地下管线等采取专项防护措施</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核查是否采取防护措施</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GLSG2-5-22</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施工前安全检查不合规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安全防护用具、机械设备、施工机具及配件在进入施工现场前未经查验或者查验不合格即投入使用</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核查施工前设施设备检验情况或</w:t>
            </w:r>
          </w:p>
          <w:p>
            <w:pPr>
              <w:widowControl/>
              <w:jc w:val="center"/>
              <w:textAlignment w:val="center"/>
              <w:rPr>
                <w:color w:val="000000"/>
                <w:kern w:val="0"/>
                <w:szCs w:val="21"/>
              </w:rPr>
            </w:pPr>
            <w:r>
              <w:rPr>
                <w:color w:val="000000"/>
                <w:kern w:val="0"/>
                <w:szCs w:val="21"/>
              </w:rPr>
              <w:t>台账记录等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GLSG2-5-23</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违规操作施工设备设施</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委托不具有相应资质的单位承担施工现场安装、拆卸施工起重机械和整体提升脚手架、模板等自升式架设设施</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核查施工现场所有人员的资质证明、台账记录等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GLSG2-5-24</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安全生产</w:t>
            </w:r>
          </w:p>
          <w:p>
            <w:pPr>
              <w:widowControl/>
              <w:jc w:val="center"/>
              <w:textAlignment w:val="center"/>
              <w:rPr>
                <w:color w:val="000000"/>
                <w:szCs w:val="21"/>
              </w:rPr>
            </w:pPr>
            <w:r>
              <w:rPr>
                <w:color w:val="000000"/>
                <w:szCs w:val="21"/>
              </w:rPr>
              <w:t>许可资格</w:t>
            </w:r>
          </w:p>
          <w:p>
            <w:pPr>
              <w:widowControl/>
              <w:jc w:val="center"/>
              <w:textAlignment w:val="center"/>
              <w:rPr>
                <w:color w:val="000000"/>
                <w:szCs w:val="21"/>
              </w:rPr>
            </w:pPr>
            <w:r>
              <w:rPr>
                <w:color w:val="000000"/>
                <w:szCs w:val="21"/>
              </w:rPr>
              <w:t>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1.未取得安全生产许可证擅自进行生产</w:t>
            </w:r>
          </w:p>
          <w:p>
            <w:pPr>
              <w:widowControl/>
              <w:textAlignment w:val="center"/>
              <w:rPr>
                <w:color w:val="000000"/>
                <w:kern w:val="0"/>
                <w:szCs w:val="21"/>
              </w:rPr>
            </w:pPr>
            <w:r>
              <w:rPr>
                <w:color w:val="000000"/>
                <w:kern w:val="0"/>
                <w:szCs w:val="21"/>
              </w:rPr>
              <w:t>2.安全生产许可证有效期满未办理延期手续，继续进行生产</w:t>
            </w:r>
          </w:p>
          <w:p>
            <w:pPr>
              <w:widowControl/>
              <w:textAlignment w:val="center"/>
              <w:rPr>
                <w:color w:val="000000"/>
                <w:kern w:val="0"/>
                <w:szCs w:val="21"/>
              </w:rPr>
            </w:pPr>
            <w:r>
              <w:rPr>
                <w:color w:val="000000"/>
                <w:kern w:val="0"/>
                <w:szCs w:val="21"/>
              </w:rPr>
              <w:t>3.逾期仍不办理延期手续，继续进行生产</w:t>
            </w:r>
          </w:p>
          <w:p>
            <w:pPr>
              <w:widowControl/>
              <w:textAlignment w:val="center"/>
              <w:rPr>
                <w:color w:val="000000"/>
                <w:kern w:val="0"/>
                <w:szCs w:val="21"/>
              </w:rPr>
            </w:pPr>
            <w:r>
              <w:rPr>
                <w:color w:val="000000"/>
                <w:kern w:val="0"/>
                <w:szCs w:val="21"/>
              </w:rPr>
              <w:t>4.使用伪造的安全生产许可证</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核查施工现场所有企业、主要人员的资质证明、台账记录等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20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GLSG2-5-25</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安全管理整改不到位</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1.多次整改仍然存在安全问题</w:t>
            </w:r>
          </w:p>
          <w:p>
            <w:pPr>
              <w:widowControl/>
              <w:textAlignment w:val="center"/>
              <w:rPr>
                <w:color w:val="000000"/>
                <w:kern w:val="0"/>
                <w:szCs w:val="21"/>
              </w:rPr>
            </w:pPr>
            <w:r>
              <w:rPr>
                <w:color w:val="000000"/>
                <w:kern w:val="0"/>
                <w:szCs w:val="21"/>
              </w:rPr>
              <w:t>2.对存在重大安全事故隐患但拒绝整改或者整改效果不明显</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核查整改记录、情况等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GLSG2-5-26</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安全作用区不合规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1.在沿海水域进行水上水下施工以及划定相应的安全作业区，未报经主管机关核准公告</w:t>
            </w:r>
          </w:p>
          <w:p>
            <w:pPr>
              <w:widowControl/>
              <w:textAlignment w:val="center"/>
              <w:rPr>
                <w:color w:val="000000"/>
                <w:kern w:val="0"/>
                <w:szCs w:val="21"/>
              </w:rPr>
            </w:pPr>
            <w:r>
              <w:rPr>
                <w:color w:val="000000"/>
                <w:kern w:val="0"/>
                <w:szCs w:val="21"/>
              </w:rPr>
              <w:t>2.施工单位擅自扩大安全作业区范围</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4分/次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核查作业区核准公告证明材料和作业区范围是否在规定范围内</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GLSG2-5-27</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安全设施或应急预案不合规</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1.施工现场防护不到位，存在较大安全隐患</w:t>
            </w:r>
          </w:p>
          <w:p>
            <w:pPr>
              <w:widowControl/>
              <w:textAlignment w:val="center"/>
              <w:rPr>
                <w:color w:val="000000"/>
                <w:kern w:val="0"/>
                <w:szCs w:val="21"/>
              </w:rPr>
            </w:pPr>
            <w:r>
              <w:rPr>
                <w:color w:val="000000"/>
                <w:kern w:val="0"/>
                <w:szCs w:val="21"/>
              </w:rPr>
              <w:t>2.未编制安全生产应急预案并落实人员、器材，组织演练</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2分/次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核查是否有应急预案或防护</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77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GLSG2-5-28</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发生一般安全事故</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发生一般安全生产责任事故</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核对事故等级</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bottom w:val="single" w:color="000000" w:sz="4"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GLSG2-5-29</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未办理保险</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未办理施工现场人员工伤、人身意外伤害等保险</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核对保险证明材料</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97" w:hRule="atLeast"/>
          <w:jc w:val="center"/>
        </w:trPr>
        <w:tc>
          <w:tcPr>
            <w:tcW w:w="363" w:type="pct"/>
            <w:vMerge w:val="restart"/>
            <w:tcBorders>
              <w:top w:val="single" w:color="000000" w:sz="4" w:space="0"/>
              <w:left w:val="single" w:color="000000" w:sz="12" w:space="0"/>
              <w:right w:val="single" w:color="000000" w:sz="4" w:space="0"/>
            </w:tcBorders>
            <w:tcMar>
              <w:left w:w="57" w:type="dxa"/>
              <w:right w:w="57" w:type="dxa"/>
            </w:tcMar>
            <w:vAlign w:val="center"/>
          </w:tcPr>
          <w:p>
            <w:pPr>
              <w:jc w:val="center"/>
              <w:rPr>
                <w:b/>
                <w:bCs/>
                <w:color w:val="000000"/>
                <w:szCs w:val="21"/>
              </w:rPr>
            </w:pPr>
            <w:r>
              <w:rPr>
                <w:b/>
                <w:bCs/>
                <w:color w:val="000000"/>
                <w:szCs w:val="21"/>
              </w:rPr>
              <w:t>社会责任</w:t>
            </w:r>
          </w:p>
          <w:p>
            <w:pPr>
              <w:jc w:val="center"/>
              <w:rPr>
                <w:b/>
                <w:bCs/>
                <w:color w:val="000000"/>
                <w:szCs w:val="21"/>
              </w:rPr>
            </w:pPr>
            <w:r>
              <w:rPr>
                <w:b/>
                <w:bCs/>
                <w:color w:val="000000"/>
                <w:szCs w:val="21"/>
              </w:rPr>
              <w:t>（10分）</w:t>
            </w:r>
          </w:p>
          <w:p>
            <w:pPr>
              <w:jc w:val="center"/>
              <w:rPr>
                <w:color w:val="000000"/>
                <w:szCs w:val="21"/>
              </w:rPr>
            </w:pPr>
          </w:p>
          <w:p>
            <w:pPr>
              <w:jc w:val="center"/>
              <w:rPr>
                <w:color w:val="000000"/>
                <w:szCs w:val="21"/>
              </w:rPr>
            </w:pPr>
            <w:r>
              <w:rPr>
                <w:b/>
                <w:bCs/>
                <w:color w:val="000000"/>
                <w:szCs w:val="21"/>
              </w:rPr>
              <w:t>GLSG2-6</w:t>
            </w:r>
          </w:p>
        </w:tc>
        <w:tc>
          <w:tcPr>
            <w:tcW w:w="474" w:type="pct"/>
            <w:vMerge w:val="restart"/>
            <w:tcBorders>
              <w:top w:val="single" w:color="000000" w:sz="4" w:space="0"/>
              <w:left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GLSG2-6-1</w:t>
            </w:r>
          </w:p>
        </w:tc>
        <w:tc>
          <w:tcPr>
            <w:tcW w:w="631" w:type="pct"/>
            <w:vMerge w:val="restart"/>
            <w:tcBorders>
              <w:top w:val="single" w:color="000000" w:sz="4" w:space="0"/>
              <w:left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破坏生态环境</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1.在崩塌滑坡危险区、泥石流易发区范围内取土、挖砂或者采石</w:t>
            </w:r>
          </w:p>
        </w:tc>
        <w:tc>
          <w:tcPr>
            <w:tcW w:w="458" w:type="pct"/>
            <w:tcBorders>
              <w:top w:val="single" w:color="000000" w:sz="4" w:space="0"/>
              <w:left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8分/次</w:t>
            </w:r>
          </w:p>
        </w:tc>
        <w:tc>
          <w:tcPr>
            <w:tcW w:w="1018" w:type="pct"/>
            <w:vMerge w:val="restart"/>
            <w:tcBorders>
              <w:top w:val="single" w:color="000000" w:sz="4" w:space="0"/>
              <w:left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调查施工台账记录、环评、废气废水排放情况等</w:t>
            </w:r>
          </w:p>
        </w:tc>
        <w:tc>
          <w:tcPr>
            <w:tcW w:w="680" w:type="pct"/>
            <w:vMerge w:val="restart"/>
            <w:tcBorders>
              <w:top w:val="single" w:color="000000" w:sz="4" w:space="0"/>
              <w:left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96"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b/>
                <w:bCs/>
                <w:color w:val="000000"/>
                <w:szCs w:val="21"/>
              </w:rPr>
            </w:pPr>
          </w:p>
        </w:tc>
        <w:tc>
          <w:tcPr>
            <w:tcW w:w="474" w:type="pct"/>
            <w:vMerge w:val="continue"/>
            <w:tcBorders>
              <w:left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p>
        </w:tc>
        <w:tc>
          <w:tcPr>
            <w:tcW w:w="631" w:type="pct"/>
            <w:vMerge w:val="continue"/>
            <w:tcBorders>
              <w:left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2.施工产生的废渣随意堆放或丢弃，废水随意排放</w:t>
            </w:r>
          </w:p>
        </w:tc>
        <w:tc>
          <w:tcPr>
            <w:tcW w:w="458" w:type="pct"/>
            <w:tcBorders>
              <w:left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vMerge w:val="continue"/>
            <w:tcBorders>
              <w:left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p>
        </w:tc>
        <w:tc>
          <w:tcPr>
            <w:tcW w:w="680" w:type="pct"/>
            <w:vMerge w:val="continue"/>
            <w:tcBorders>
              <w:left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96"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b/>
                <w:bCs/>
                <w:color w:val="000000"/>
                <w:szCs w:val="21"/>
              </w:rPr>
            </w:pPr>
          </w:p>
        </w:tc>
        <w:tc>
          <w:tcPr>
            <w:tcW w:w="474" w:type="pct"/>
            <w:vMerge w:val="continue"/>
            <w:tcBorders>
              <w:left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p>
        </w:tc>
        <w:tc>
          <w:tcPr>
            <w:tcW w:w="631" w:type="pct"/>
            <w:vMerge w:val="continue"/>
            <w:tcBorders>
              <w:left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3.施工中破坏生态环境</w:t>
            </w:r>
          </w:p>
        </w:tc>
        <w:tc>
          <w:tcPr>
            <w:tcW w:w="458" w:type="pct"/>
            <w:tcBorders>
              <w:left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vMerge w:val="continue"/>
            <w:tcBorders>
              <w:left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p>
        </w:tc>
        <w:tc>
          <w:tcPr>
            <w:tcW w:w="680" w:type="pct"/>
            <w:vMerge w:val="continue"/>
            <w:tcBorders>
              <w:left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496"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b/>
                <w:bCs/>
                <w:color w:val="000000"/>
                <w:szCs w:val="21"/>
              </w:rPr>
            </w:pPr>
          </w:p>
        </w:tc>
        <w:tc>
          <w:tcPr>
            <w:tcW w:w="474" w:type="pct"/>
            <w:vMerge w:val="continue"/>
            <w:tcBorders>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p>
        </w:tc>
        <w:tc>
          <w:tcPr>
            <w:tcW w:w="631" w:type="pct"/>
            <w:vMerge w:val="continue"/>
            <w:tcBorders>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4.施工过程中造成水土流失，不进行治理</w:t>
            </w:r>
          </w:p>
        </w:tc>
        <w:tc>
          <w:tcPr>
            <w:tcW w:w="458" w:type="pct"/>
            <w:tcBorders>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4分/次</w:t>
            </w:r>
          </w:p>
        </w:tc>
        <w:tc>
          <w:tcPr>
            <w:tcW w:w="1018" w:type="pct"/>
            <w:vMerge w:val="continue"/>
            <w:tcBorders>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p>
        </w:tc>
        <w:tc>
          <w:tcPr>
            <w:tcW w:w="680" w:type="pct"/>
            <w:vMerge w:val="continue"/>
            <w:tcBorders>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GLSG2-6-2</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施工外部</w:t>
            </w:r>
          </w:p>
          <w:p>
            <w:pPr>
              <w:widowControl/>
              <w:jc w:val="center"/>
              <w:textAlignment w:val="center"/>
              <w:rPr>
                <w:color w:val="000000"/>
                <w:szCs w:val="21"/>
              </w:rPr>
            </w:pPr>
            <w:r>
              <w:rPr>
                <w:color w:val="000000"/>
                <w:szCs w:val="21"/>
              </w:rPr>
              <w:t>环境</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生活区、办公区设置杂乱，卫生环境差</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现场核查施工外部环境条件</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GLSG2-6-3</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据不执行应急任务</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建设项目出现突发事件，拒不执行应急或救援任务</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调查是否能执行紧急任务</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GLSG2-6-4</w:t>
            </w:r>
          </w:p>
        </w:tc>
        <w:tc>
          <w:tcPr>
            <w:tcW w:w="631"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违规占用土地</w:t>
            </w:r>
          </w:p>
        </w:tc>
        <w:tc>
          <w:tcPr>
            <w:tcW w:w="1376"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1.乱占土地、草场</w:t>
            </w:r>
          </w:p>
          <w:p>
            <w:pPr>
              <w:widowControl/>
              <w:textAlignment w:val="center"/>
              <w:rPr>
                <w:color w:val="000000"/>
                <w:kern w:val="0"/>
                <w:szCs w:val="21"/>
              </w:rPr>
            </w:pPr>
            <w:r>
              <w:rPr>
                <w:color w:val="000000"/>
                <w:kern w:val="0"/>
                <w:szCs w:val="21"/>
              </w:rPr>
              <w:t>2.临时占用农田、林地等未及时复垦或恢复原状</w:t>
            </w:r>
          </w:p>
        </w:tc>
        <w:tc>
          <w:tcPr>
            <w:tcW w:w="45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4分/次</w:t>
            </w:r>
          </w:p>
        </w:tc>
        <w:tc>
          <w:tcPr>
            <w:tcW w:w="1018" w:type="pct"/>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调查是否违规占用土地等</w:t>
            </w:r>
          </w:p>
        </w:tc>
        <w:tc>
          <w:tcPr>
            <w:tcW w:w="680" w:type="pct"/>
            <w:tcBorders>
              <w:top w:val="single" w:color="000000" w:sz="4"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451" w:hRule="atLeast"/>
          <w:jc w:val="center"/>
        </w:trPr>
        <w:tc>
          <w:tcPr>
            <w:tcW w:w="363" w:type="pct"/>
            <w:vMerge w:val="continue"/>
            <w:tcBorders>
              <w:left w:val="single" w:color="000000" w:sz="12" w:space="0"/>
              <w:bottom w:val="single" w:color="000000" w:sz="12" w:space="0"/>
              <w:right w:val="single" w:color="000000" w:sz="4" w:space="0"/>
            </w:tcBorders>
            <w:tcMar>
              <w:left w:w="57" w:type="dxa"/>
              <w:right w:w="57" w:type="dxa"/>
            </w:tcMar>
            <w:vAlign w:val="center"/>
          </w:tcPr>
          <w:p>
            <w:pPr>
              <w:jc w:val="center"/>
              <w:rPr>
                <w:color w:val="000000"/>
                <w:szCs w:val="21"/>
              </w:rPr>
            </w:pPr>
          </w:p>
        </w:tc>
        <w:tc>
          <w:tcPr>
            <w:tcW w:w="474" w:type="pct"/>
            <w:tcBorders>
              <w:top w:val="single" w:color="000000" w:sz="4" w:space="0"/>
              <w:left w:val="single" w:color="000000" w:sz="4" w:space="0"/>
              <w:bottom w:val="single" w:color="000000" w:sz="12" w:space="0"/>
              <w:right w:val="single" w:color="000000" w:sz="4" w:space="0"/>
            </w:tcBorders>
            <w:tcMar>
              <w:left w:w="57" w:type="dxa"/>
              <w:right w:w="57" w:type="dxa"/>
            </w:tcMar>
            <w:vAlign w:val="center"/>
          </w:tcPr>
          <w:p>
            <w:pPr>
              <w:widowControl/>
              <w:jc w:val="center"/>
              <w:textAlignment w:val="top"/>
              <w:rPr>
                <w:color w:val="000000"/>
                <w:kern w:val="0"/>
                <w:szCs w:val="21"/>
              </w:rPr>
            </w:pPr>
            <w:r>
              <w:rPr>
                <w:color w:val="000000"/>
                <w:kern w:val="0"/>
                <w:szCs w:val="21"/>
              </w:rPr>
              <w:t>GLSG2-6-5</w:t>
            </w:r>
          </w:p>
        </w:tc>
        <w:tc>
          <w:tcPr>
            <w:tcW w:w="631" w:type="pct"/>
            <w:tcBorders>
              <w:top w:val="single" w:color="000000" w:sz="4" w:space="0"/>
              <w:left w:val="single" w:color="000000" w:sz="4" w:space="0"/>
              <w:bottom w:val="single" w:color="000000" w:sz="12" w:space="0"/>
              <w:right w:val="single" w:color="000000" w:sz="4" w:space="0"/>
            </w:tcBorders>
            <w:tcMar>
              <w:left w:w="57" w:type="dxa"/>
              <w:right w:w="57" w:type="dxa"/>
            </w:tcMar>
            <w:vAlign w:val="center"/>
          </w:tcPr>
          <w:p>
            <w:pPr>
              <w:widowControl/>
              <w:jc w:val="center"/>
              <w:textAlignment w:val="center"/>
              <w:rPr>
                <w:color w:val="000000"/>
                <w:szCs w:val="21"/>
              </w:rPr>
            </w:pPr>
            <w:r>
              <w:rPr>
                <w:color w:val="000000"/>
                <w:szCs w:val="21"/>
              </w:rPr>
              <w:t>未签或违反廉政合同</w:t>
            </w:r>
          </w:p>
        </w:tc>
        <w:tc>
          <w:tcPr>
            <w:tcW w:w="1376" w:type="pct"/>
            <w:tcBorders>
              <w:top w:val="single" w:color="000000" w:sz="4" w:space="0"/>
              <w:left w:val="single" w:color="000000" w:sz="4" w:space="0"/>
              <w:bottom w:val="single" w:color="000000" w:sz="12" w:space="0"/>
              <w:right w:val="single" w:color="000000" w:sz="4" w:space="0"/>
            </w:tcBorders>
            <w:tcMar>
              <w:left w:w="57" w:type="dxa"/>
              <w:right w:w="57" w:type="dxa"/>
            </w:tcMar>
            <w:vAlign w:val="center"/>
          </w:tcPr>
          <w:p>
            <w:pPr>
              <w:widowControl/>
              <w:textAlignment w:val="center"/>
              <w:rPr>
                <w:color w:val="000000"/>
                <w:kern w:val="0"/>
                <w:szCs w:val="21"/>
              </w:rPr>
            </w:pPr>
            <w:r>
              <w:rPr>
                <w:color w:val="000000"/>
                <w:kern w:val="0"/>
                <w:szCs w:val="21"/>
              </w:rPr>
              <w:t>1.未按要求签订廉政合同</w:t>
            </w:r>
          </w:p>
          <w:p>
            <w:pPr>
              <w:widowControl/>
              <w:textAlignment w:val="center"/>
              <w:rPr>
                <w:color w:val="000000"/>
                <w:kern w:val="0"/>
                <w:szCs w:val="21"/>
              </w:rPr>
            </w:pPr>
            <w:r>
              <w:rPr>
                <w:color w:val="000000"/>
                <w:kern w:val="0"/>
                <w:szCs w:val="21"/>
              </w:rPr>
              <w:t>2.违反廉政合同</w:t>
            </w:r>
          </w:p>
        </w:tc>
        <w:tc>
          <w:tcPr>
            <w:tcW w:w="458" w:type="pct"/>
            <w:tcBorders>
              <w:top w:val="single" w:color="000000" w:sz="4" w:space="0"/>
              <w:left w:val="single" w:color="000000" w:sz="4" w:space="0"/>
              <w:bottom w:val="single" w:color="000000" w:sz="12"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1018" w:type="pct"/>
            <w:tcBorders>
              <w:top w:val="single" w:color="000000" w:sz="4" w:space="0"/>
              <w:left w:val="single" w:color="000000" w:sz="4" w:space="0"/>
              <w:bottom w:val="single" w:color="000000" w:sz="12" w:space="0"/>
              <w:right w:val="single" w:color="000000" w:sz="4" w:space="0"/>
            </w:tcBorders>
            <w:tcMar>
              <w:left w:w="57" w:type="dxa"/>
              <w:right w:w="57" w:type="dxa"/>
            </w:tcMar>
            <w:vAlign w:val="center"/>
          </w:tcPr>
          <w:p>
            <w:pPr>
              <w:widowControl/>
              <w:jc w:val="center"/>
              <w:textAlignment w:val="center"/>
              <w:rPr>
                <w:color w:val="000000"/>
                <w:kern w:val="0"/>
                <w:szCs w:val="21"/>
              </w:rPr>
            </w:pPr>
            <w:r>
              <w:rPr>
                <w:color w:val="000000"/>
                <w:kern w:val="0"/>
                <w:szCs w:val="21"/>
              </w:rPr>
              <w:t>核查是否签约或者违反相关廉政规定</w:t>
            </w:r>
          </w:p>
        </w:tc>
        <w:tc>
          <w:tcPr>
            <w:tcW w:w="680" w:type="pct"/>
            <w:tcBorders>
              <w:top w:val="single" w:color="000000" w:sz="4" w:space="0"/>
              <w:left w:val="single" w:color="000000" w:sz="4" w:space="0"/>
              <w:bottom w:val="single" w:color="000000" w:sz="12" w:space="0"/>
              <w:right w:val="single" w:color="000000" w:sz="12" w:space="0"/>
            </w:tcBorders>
            <w:tcMar>
              <w:left w:w="57" w:type="dxa"/>
              <w:right w:w="57" w:type="dxa"/>
            </w:tcMar>
            <w:vAlign w:val="center"/>
          </w:tcPr>
          <w:p>
            <w:pPr>
              <w:widowControl/>
              <w:jc w:val="center"/>
              <w:textAlignment w:val="center"/>
              <w:rPr>
                <w:color w:val="000000"/>
                <w:kern w:val="0"/>
                <w:szCs w:val="21"/>
              </w:rPr>
            </w:pPr>
          </w:p>
        </w:tc>
      </w:tr>
    </w:tbl>
    <w:p/>
    <w:p>
      <w:pPr>
        <w:widowControl/>
        <w:jc w:val="left"/>
      </w:pPr>
      <w:r>
        <w:br w:type="page"/>
      </w:r>
    </w:p>
    <w:p>
      <w:pPr>
        <w:spacing w:before="156" w:beforeLines="50" w:after="156" w:afterLines="50"/>
        <w:jc w:val="left"/>
        <w:outlineLvl w:val="2"/>
        <w:rPr>
          <w:rFonts w:eastAsia="黑体"/>
          <w:bCs/>
          <w:color w:val="000000"/>
          <w:kern w:val="0"/>
          <w:sz w:val="28"/>
          <w:szCs w:val="18"/>
        </w:rPr>
      </w:pPr>
      <w:r>
        <w:rPr>
          <w:rFonts w:eastAsia="黑体"/>
          <w:bCs/>
          <w:color w:val="000000"/>
          <w:kern w:val="0"/>
          <w:sz w:val="28"/>
          <w:szCs w:val="18"/>
        </w:rPr>
        <w:t>附表3</w:t>
      </w:r>
    </w:p>
    <w:p>
      <w:pPr>
        <w:spacing w:before="156" w:beforeLines="50" w:after="156" w:afterLines="50"/>
        <w:jc w:val="center"/>
        <w:outlineLvl w:val="2"/>
        <w:rPr>
          <w:rFonts w:eastAsia="黑体"/>
          <w:bCs/>
          <w:color w:val="000000"/>
          <w:kern w:val="0"/>
          <w:sz w:val="32"/>
          <w:szCs w:val="20"/>
        </w:rPr>
      </w:pPr>
      <w:r>
        <w:rPr>
          <w:rFonts w:eastAsia="黑体"/>
          <w:bCs/>
          <w:color w:val="000000"/>
          <w:kern w:val="0"/>
          <w:sz w:val="32"/>
          <w:szCs w:val="20"/>
        </w:rPr>
        <w:t>甘肃省公路施工企业信用评价标准（</w:t>
      </w:r>
      <w:bookmarkStart w:id="19" w:name="_Hlk57704260"/>
      <w:r>
        <w:rPr>
          <w:rFonts w:eastAsia="黑体"/>
          <w:bCs/>
          <w:color w:val="000000"/>
          <w:kern w:val="0"/>
          <w:sz w:val="32"/>
          <w:szCs w:val="20"/>
        </w:rPr>
        <w:t>其他行为</w:t>
      </w:r>
      <w:bookmarkEnd w:id="19"/>
      <w:r>
        <w:rPr>
          <w:rFonts w:eastAsia="黑体"/>
          <w:bCs/>
          <w:color w:val="000000"/>
          <w:kern w:val="0"/>
          <w:sz w:val="32"/>
          <w:szCs w:val="20"/>
        </w:rPr>
        <w:t>）</w:t>
      </w:r>
    </w:p>
    <w:p>
      <w:pPr>
        <w:spacing w:line="360" w:lineRule="auto"/>
        <w:jc w:val="left"/>
        <w:rPr>
          <w:rFonts w:eastAsia="黑体"/>
          <w:bCs/>
          <w:sz w:val="24"/>
          <w:szCs w:val="28"/>
        </w:rPr>
      </w:pPr>
      <w:r>
        <w:rPr>
          <w:rFonts w:eastAsia="黑体"/>
          <w:bCs/>
          <w:sz w:val="24"/>
          <w:szCs w:val="28"/>
        </w:rPr>
        <w:t>其他行为（在总分中扣除）行为代码GLJS3</w:t>
      </w:r>
    </w:p>
    <w:tbl>
      <w:tblPr>
        <w:tblStyle w:val="1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1274"/>
        <w:gridCol w:w="1145"/>
        <w:gridCol w:w="1861"/>
        <w:gridCol w:w="3660"/>
        <w:gridCol w:w="1529"/>
        <w:gridCol w:w="2117"/>
        <w:gridCol w:w="24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286" w:hRule="atLeast"/>
          <w:tblHeader/>
          <w:jc w:val="center"/>
        </w:trPr>
        <w:tc>
          <w:tcPr>
            <w:tcW w:w="453" w:type="pct"/>
            <w:tcBorders>
              <w:top w:val="single" w:color="000000" w:sz="12" w:space="0"/>
              <w:left w:val="single" w:color="000000" w:sz="12" w:space="0"/>
              <w:bottom w:val="single" w:color="000000" w:sz="4" w:space="0"/>
              <w:right w:val="single" w:color="000000" w:sz="4" w:space="0"/>
            </w:tcBorders>
            <w:tcMar>
              <w:left w:w="57" w:type="dxa"/>
              <w:right w:w="57" w:type="dxa"/>
            </w:tcMar>
            <w:vAlign w:val="center"/>
          </w:tcPr>
          <w:p>
            <w:pPr>
              <w:widowControl/>
              <w:jc w:val="center"/>
              <w:textAlignment w:val="center"/>
              <w:rPr>
                <w:b/>
                <w:bCs/>
                <w:color w:val="000000"/>
                <w:kern w:val="0"/>
                <w:szCs w:val="21"/>
              </w:rPr>
            </w:pPr>
            <w:r>
              <w:rPr>
                <w:b/>
                <w:bCs/>
                <w:color w:val="000000"/>
                <w:kern w:val="0"/>
                <w:szCs w:val="21"/>
              </w:rPr>
              <w:br w:type="page"/>
            </w:r>
            <w:r>
              <w:rPr>
                <w:b/>
                <w:bCs/>
                <w:color w:val="000000"/>
                <w:kern w:val="0"/>
                <w:szCs w:val="21"/>
              </w:rPr>
              <w:t>评定内容</w:t>
            </w:r>
          </w:p>
        </w:tc>
        <w:tc>
          <w:tcPr>
            <w:tcW w:w="407" w:type="pct"/>
            <w:tcBorders>
              <w:top w:val="single" w:color="000000" w:sz="12"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b/>
                <w:bCs/>
                <w:color w:val="000000"/>
                <w:kern w:val="0"/>
                <w:szCs w:val="21"/>
              </w:rPr>
            </w:pPr>
            <w:r>
              <w:rPr>
                <w:b/>
                <w:bCs/>
                <w:color w:val="000000"/>
                <w:kern w:val="0"/>
                <w:szCs w:val="21"/>
              </w:rPr>
              <w:t>行为代码</w:t>
            </w:r>
          </w:p>
        </w:tc>
        <w:tc>
          <w:tcPr>
            <w:tcW w:w="661" w:type="pct"/>
            <w:tcBorders>
              <w:top w:val="single" w:color="000000" w:sz="12"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b/>
                <w:bCs/>
                <w:color w:val="000000"/>
                <w:szCs w:val="21"/>
              </w:rPr>
            </w:pPr>
            <w:r>
              <w:rPr>
                <w:b/>
                <w:bCs/>
                <w:color w:val="000000"/>
                <w:szCs w:val="21"/>
              </w:rPr>
              <w:t>失信行为</w:t>
            </w:r>
          </w:p>
        </w:tc>
        <w:tc>
          <w:tcPr>
            <w:tcW w:w="1300" w:type="pct"/>
            <w:tcBorders>
              <w:top w:val="single" w:color="000000" w:sz="12"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b/>
                <w:bCs/>
                <w:color w:val="000000"/>
                <w:kern w:val="0"/>
                <w:szCs w:val="21"/>
              </w:rPr>
            </w:pPr>
            <w:r>
              <w:rPr>
                <w:b/>
                <w:bCs/>
                <w:color w:val="000000"/>
                <w:kern w:val="0"/>
                <w:szCs w:val="21"/>
              </w:rPr>
              <w:t>行为认定标准</w:t>
            </w:r>
          </w:p>
        </w:tc>
        <w:tc>
          <w:tcPr>
            <w:tcW w:w="543" w:type="pct"/>
            <w:tcBorders>
              <w:top w:val="single" w:color="000000" w:sz="12"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b/>
                <w:bCs/>
                <w:color w:val="000000"/>
                <w:kern w:val="0"/>
                <w:szCs w:val="21"/>
              </w:rPr>
            </w:pPr>
            <w:r>
              <w:rPr>
                <w:b/>
                <w:bCs/>
                <w:color w:val="000000"/>
                <w:kern w:val="0"/>
                <w:szCs w:val="21"/>
              </w:rPr>
              <w:t xml:space="preserve">行为等级和 </w:t>
            </w:r>
            <w:bookmarkStart w:id="20" w:name="_Hlk78320441"/>
            <w:r>
              <w:rPr>
                <w:b/>
                <w:bCs/>
                <w:color w:val="000000"/>
                <w:kern w:val="0"/>
                <w:szCs w:val="21"/>
              </w:rPr>
              <w:t xml:space="preserve"> 扣分标准</w:t>
            </w:r>
          </w:p>
        </w:tc>
        <w:tc>
          <w:tcPr>
            <w:tcW w:w="752" w:type="pct"/>
            <w:tcBorders>
              <w:top w:val="single" w:color="000000" w:sz="12" w:space="0"/>
              <w:left w:val="single" w:color="000000" w:sz="4" w:space="0"/>
              <w:bottom w:val="single" w:color="000000" w:sz="4" w:space="0"/>
              <w:right w:val="single" w:color="000000" w:sz="4" w:space="0"/>
            </w:tcBorders>
            <w:tcMar>
              <w:left w:w="57" w:type="dxa"/>
              <w:right w:w="57" w:type="dxa"/>
            </w:tcMar>
            <w:vAlign w:val="center"/>
          </w:tcPr>
          <w:p>
            <w:pPr>
              <w:widowControl/>
              <w:jc w:val="center"/>
              <w:textAlignment w:val="center"/>
              <w:rPr>
                <w:b/>
                <w:bCs/>
                <w:color w:val="000000"/>
                <w:kern w:val="0"/>
                <w:szCs w:val="21"/>
              </w:rPr>
            </w:pPr>
            <w:r>
              <w:rPr>
                <w:b/>
                <w:bCs/>
                <w:color w:val="000000"/>
                <w:kern w:val="0"/>
                <w:szCs w:val="21"/>
              </w:rPr>
              <w:t>现场考核方式方法</w:t>
            </w:r>
          </w:p>
        </w:tc>
        <w:tc>
          <w:tcPr>
            <w:tcW w:w="883" w:type="pct"/>
            <w:tcBorders>
              <w:top w:val="single" w:color="000000" w:sz="12" w:space="0"/>
              <w:left w:val="single" w:color="000000" w:sz="4" w:space="0"/>
              <w:bottom w:val="single" w:color="000000" w:sz="4" w:space="0"/>
              <w:right w:val="single" w:color="000000" w:sz="12" w:space="0"/>
            </w:tcBorders>
            <w:tcMar>
              <w:left w:w="57" w:type="dxa"/>
              <w:right w:w="57" w:type="dxa"/>
            </w:tcMar>
            <w:vAlign w:val="center"/>
          </w:tcPr>
          <w:p>
            <w:pPr>
              <w:widowControl/>
              <w:jc w:val="center"/>
              <w:textAlignment w:val="center"/>
              <w:rPr>
                <w:b/>
                <w:bCs/>
                <w:color w:val="000000"/>
                <w:kern w:val="0"/>
                <w:szCs w:val="21"/>
              </w:rPr>
            </w:pPr>
            <w:r>
              <w:rPr>
                <w:b/>
                <w:bCs/>
                <w:color w:val="000000"/>
                <w:kern w:val="0"/>
                <w:szCs w:val="21"/>
              </w:rPr>
              <w:t>条文说明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453" w:type="pct"/>
            <w:vMerge w:val="restart"/>
            <w:tcMar>
              <w:left w:w="57" w:type="dxa"/>
              <w:right w:w="57" w:type="dxa"/>
            </w:tcMar>
            <w:vAlign w:val="center"/>
          </w:tcPr>
          <w:p>
            <w:pPr>
              <w:widowControl/>
              <w:jc w:val="center"/>
              <w:textAlignment w:val="center"/>
              <w:rPr>
                <w:b/>
                <w:bCs/>
                <w:color w:val="000000"/>
                <w:kern w:val="0"/>
                <w:szCs w:val="21"/>
              </w:rPr>
            </w:pPr>
            <w:r>
              <w:rPr>
                <w:b/>
                <w:bCs/>
                <w:color w:val="000000"/>
                <w:kern w:val="0"/>
                <w:szCs w:val="21"/>
              </w:rPr>
              <w:t>其它行为</w:t>
            </w:r>
          </w:p>
          <w:p>
            <w:pPr>
              <w:widowControl/>
              <w:jc w:val="center"/>
              <w:textAlignment w:val="center"/>
              <w:rPr>
                <w:b/>
                <w:bCs/>
                <w:color w:val="000000"/>
                <w:kern w:val="0"/>
                <w:szCs w:val="21"/>
              </w:rPr>
            </w:pPr>
          </w:p>
          <w:p>
            <w:pPr>
              <w:widowControl/>
              <w:jc w:val="center"/>
              <w:textAlignment w:val="center"/>
              <w:rPr>
                <w:color w:val="000000"/>
                <w:szCs w:val="21"/>
              </w:rPr>
            </w:pPr>
            <w:r>
              <w:rPr>
                <w:color w:val="000000"/>
                <w:kern w:val="0"/>
                <w:szCs w:val="21"/>
              </w:rPr>
              <w:t>GLSG3</w:t>
            </w:r>
          </w:p>
        </w:tc>
        <w:tc>
          <w:tcPr>
            <w:tcW w:w="407" w:type="pct"/>
            <w:tcMar>
              <w:left w:w="57" w:type="dxa"/>
              <w:right w:w="57" w:type="dxa"/>
            </w:tcMar>
            <w:vAlign w:val="center"/>
          </w:tcPr>
          <w:p>
            <w:pPr>
              <w:widowControl/>
              <w:jc w:val="center"/>
              <w:textAlignment w:val="center"/>
              <w:rPr>
                <w:color w:val="000000"/>
                <w:szCs w:val="21"/>
              </w:rPr>
            </w:pPr>
            <w:r>
              <w:rPr>
                <w:color w:val="000000"/>
                <w:kern w:val="0"/>
                <w:szCs w:val="21"/>
              </w:rPr>
              <w:t>GLSG3-1</w:t>
            </w:r>
          </w:p>
        </w:tc>
        <w:tc>
          <w:tcPr>
            <w:tcW w:w="661" w:type="pct"/>
            <w:tcMar>
              <w:left w:w="57" w:type="dxa"/>
              <w:right w:w="57" w:type="dxa"/>
            </w:tcMar>
            <w:vAlign w:val="center"/>
          </w:tcPr>
          <w:p>
            <w:pPr>
              <w:widowControl/>
              <w:jc w:val="center"/>
              <w:textAlignment w:val="center"/>
              <w:rPr>
                <w:color w:val="000000"/>
                <w:szCs w:val="21"/>
              </w:rPr>
            </w:pPr>
            <w:r>
              <w:rPr>
                <w:color w:val="000000"/>
                <w:szCs w:val="21"/>
              </w:rPr>
              <w:t>被司法机关处罚</w:t>
            </w:r>
          </w:p>
        </w:tc>
        <w:tc>
          <w:tcPr>
            <w:tcW w:w="1300" w:type="pct"/>
            <w:tcMar>
              <w:left w:w="57" w:type="dxa"/>
              <w:right w:w="57" w:type="dxa"/>
            </w:tcMar>
            <w:vAlign w:val="center"/>
          </w:tcPr>
          <w:p>
            <w:pPr>
              <w:widowControl/>
              <w:textAlignment w:val="center"/>
              <w:rPr>
                <w:color w:val="000000"/>
                <w:szCs w:val="21"/>
              </w:rPr>
            </w:pPr>
            <w:r>
              <w:rPr>
                <w:color w:val="000000"/>
                <w:kern w:val="0"/>
                <w:szCs w:val="21"/>
              </w:rPr>
              <w:t>被司法机关认定有行贿、受贿行为，并构成犯罪</w:t>
            </w:r>
          </w:p>
        </w:tc>
        <w:tc>
          <w:tcPr>
            <w:tcW w:w="543" w:type="pct"/>
            <w:tcMar>
              <w:left w:w="57" w:type="dxa"/>
              <w:right w:w="57" w:type="dxa"/>
            </w:tcMar>
            <w:vAlign w:val="center"/>
          </w:tcPr>
          <w:p>
            <w:pPr>
              <w:widowControl/>
              <w:jc w:val="center"/>
              <w:textAlignment w:val="center"/>
              <w:rPr>
                <w:color w:val="000000"/>
                <w:szCs w:val="21"/>
              </w:rPr>
            </w:pPr>
            <w:r>
              <w:rPr>
                <w:color w:val="000000"/>
                <w:kern w:val="0"/>
                <w:szCs w:val="21"/>
              </w:rPr>
              <w:t>直</w:t>
            </w:r>
            <w:bookmarkEnd w:id="20"/>
            <w:r>
              <w:rPr>
                <w:color w:val="000000"/>
                <w:kern w:val="0"/>
                <w:szCs w:val="21"/>
              </w:rPr>
              <w:t>接定为D级</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核查司法处罚相关证明材料</w:t>
            </w:r>
          </w:p>
        </w:tc>
        <w:tc>
          <w:tcPr>
            <w:tcW w:w="883"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453" w:type="pct"/>
            <w:vMerge w:val="continue"/>
            <w:tcMar>
              <w:left w:w="57" w:type="dxa"/>
              <w:right w:w="57" w:type="dxa"/>
            </w:tcMar>
            <w:vAlign w:val="center"/>
          </w:tcPr>
          <w:p>
            <w:pPr>
              <w:widowControl/>
              <w:jc w:val="center"/>
              <w:textAlignment w:val="center"/>
              <w:rPr>
                <w:b/>
                <w:bCs/>
                <w:color w:val="000000"/>
                <w:kern w:val="0"/>
                <w:szCs w:val="21"/>
              </w:rPr>
            </w:pPr>
          </w:p>
        </w:tc>
        <w:tc>
          <w:tcPr>
            <w:tcW w:w="407" w:type="pct"/>
            <w:tcMar>
              <w:left w:w="57" w:type="dxa"/>
              <w:right w:w="57" w:type="dxa"/>
            </w:tcMar>
            <w:vAlign w:val="center"/>
          </w:tcPr>
          <w:p>
            <w:pPr>
              <w:widowControl/>
              <w:jc w:val="center"/>
              <w:textAlignment w:val="center"/>
              <w:rPr>
                <w:color w:val="000000"/>
                <w:kern w:val="0"/>
                <w:szCs w:val="21"/>
              </w:rPr>
            </w:pPr>
            <w:r>
              <w:rPr>
                <w:color w:val="000000"/>
                <w:kern w:val="0"/>
                <w:szCs w:val="21"/>
              </w:rPr>
              <w:t>GLSG3-2</w:t>
            </w:r>
          </w:p>
        </w:tc>
        <w:tc>
          <w:tcPr>
            <w:tcW w:w="661" w:type="pct"/>
            <w:tcMar>
              <w:left w:w="57" w:type="dxa"/>
              <w:right w:w="57" w:type="dxa"/>
            </w:tcMar>
            <w:vAlign w:val="center"/>
          </w:tcPr>
          <w:p>
            <w:pPr>
              <w:widowControl/>
              <w:jc w:val="center"/>
              <w:textAlignment w:val="center"/>
              <w:rPr>
                <w:color w:val="000000"/>
                <w:szCs w:val="21"/>
              </w:rPr>
            </w:pPr>
            <w:r>
              <w:rPr>
                <w:color w:val="000000"/>
                <w:szCs w:val="21"/>
              </w:rPr>
              <w:t>恶意拖欠</w:t>
            </w:r>
          </w:p>
        </w:tc>
        <w:tc>
          <w:tcPr>
            <w:tcW w:w="1300" w:type="pct"/>
            <w:tcMar>
              <w:left w:w="57" w:type="dxa"/>
              <w:right w:w="57" w:type="dxa"/>
            </w:tcMar>
            <w:vAlign w:val="center"/>
          </w:tcPr>
          <w:p>
            <w:pPr>
              <w:widowControl/>
              <w:textAlignment w:val="center"/>
              <w:rPr>
                <w:color w:val="000000"/>
                <w:kern w:val="0"/>
                <w:szCs w:val="21"/>
              </w:rPr>
            </w:pPr>
            <w:r>
              <w:rPr>
                <w:color w:val="000000"/>
                <w:kern w:val="0"/>
                <w:szCs w:val="21"/>
              </w:rPr>
              <w:t>恶意拖欠工程款、农民工工资、材料款被司法机关强制执行</w:t>
            </w:r>
          </w:p>
        </w:tc>
        <w:tc>
          <w:tcPr>
            <w:tcW w:w="543" w:type="pct"/>
            <w:tcMar>
              <w:left w:w="57" w:type="dxa"/>
              <w:right w:w="57" w:type="dxa"/>
            </w:tcMar>
            <w:vAlign w:val="center"/>
          </w:tcPr>
          <w:p>
            <w:pPr>
              <w:widowControl/>
              <w:jc w:val="center"/>
              <w:textAlignment w:val="center"/>
              <w:rPr>
                <w:color w:val="000000"/>
                <w:kern w:val="0"/>
                <w:szCs w:val="21"/>
              </w:rPr>
            </w:pPr>
            <w:r>
              <w:rPr>
                <w:color w:val="000000"/>
                <w:kern w:val="0"/>
                <w:szCs w:val="21"/>
              </w:rPr>
              <w:t>直接降为D级</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调查司法执行相关证明材料、投诉举报等</w:t>
            </w:r>
          </w:p>
        </w:tc>
        <w:tc>
          <w:tcPr>
            <w:tcW w:w="883"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886" w:hRule="atLeast"/>
          <w:jc w:val="center"/>
        </w:trPr>
        <w:tc>
          <w:tcPr>
            <w:tcW w:w="453" w:type="pct"/>
            <w:vMerge w:val="continue"/>
            <w:tcMar>
              <w:left w:w="57" w:type="dxa"/>
              <w:right w:w="57" w:type="dxa"/>
            </w:tcMar>
            <w:vAlign w:val="center"/>
          </w:tcPr>
          <w:p>
            <w:pPr>
              <w:widowControl/>
              <w:jc w:val="center"/>
              <w:textAlignment w:val="center"/>
              <w:rPr>
                <w:b/>
                <w:bCs/>
                <w:color w:val="000000"/>
                <w:kern w:val="0"/>
                <w:szCs w:val="21"/>
              </w:rPr>
            </w:pPr>
          </w:p>
        </w:tc>
        <w:tc>
          <w:tcPr>
            <w:tcW w:w="407" w:type="pct"/>
            <w:tcMar>
              <w:left w:w="57" w:type="dxa"/>
              <w:right w:w="57" w:type="dxa"/>
            </w:tcMar>
            <w:vAlign w:val="center"/>
          </w:tcPr>
          <w:p>
            <w:pPr>
              <w:widowControl/>
              <w:jc w:val="center"/>
              <w:textAlignment w:val="center"/>
              <w:rPr>
                <w:color w:val="000000"/>
                <w:kern w:val="0"/>
                <w:szCs w:val="21"/>
              </w:rPr>
            </w:pPr>
            <w:r>
              <w:rPr>
                <w:color w:val="000000"/>
                <w:kern w:val="0"/>
                <w:szCs w:val="21"/>
              </w:rPr>
              <w:t>GLSG3-3</w:t>
            </w:r>
          </w:p>
        </w:tc>
        <w:tc>
          <w:tcPr>
            <w:tcW w:w="661" w:type="pct"/>
            <w:tcMar>
              <w:left w:w="57" w:type="dxa"/>
              <w:right w:w="57" w:type="dxa"/>
            </w:tcMar>
            <w:vAlign w:val="center"/>
          </w:tcPr>
          <w:p>
            <w:pPr>
              <w:widowControl/>
              <w:jc w:val="center"/>
              <w:textAlignment w:val="center"/>
              <w:rPr>
                <w:color w:val="000000"/>
                <w:szCs w:val="21"/>
              </w:rPr>
            </w:pPr>
            <w:r>
              <w:rPr>
                <w:color w:val="000000"/>
                <w:szCs w:val="21"/>
              </w:rPr>
              <w:t>欠款</w:t>
            </w:r>
          </w:p>
        </w:tc>
        <w:tc>
          <w:tcPr>
            <w:tcW w:w="1300" w:type="pct"/>
            <w:tcMar>
              <w:left w:w="57" w:type="dxa"/>
              <w:right w:w="57" w:type="dxa"/>
            </w:tcMar>
            <w:vAlign w:val="center"/>
          </w:tcPr>
          <w:p>
            <w:pPr>
              <w:widowControl/>
              <w:textAlignment w:val="center"/>
              <w:rPr>
                <w:color w:val="000000"/>
                <w:kern w:val="0"/>
                <w:szCs w:val="21"/>
              </w:rPr>
            </w:pPr>
            <w:r>
              <w:rPr>
                <w:color w:val="000000"/>
                <w:kern w:val="0"/>
                <w:szCs w:val="21"/>
              </w:rPr>
              <w:t>因拖工程款、农民工工资、材料款问题造成5人以上群体事件或不良社会影响</w:t>
            </w:r>
          </w:p>
        </w:tc>
        <w:tc>
          <w:tcPr>
            <w:tcW w:w="543" w:type="pct"/>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调查司法执行相关证明材料、投诉举报等</w:t>
            </w: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286" w:hRule="atLeast"/>
          <w:jc w:val="center"/>
        </w:trPr>
        <w:tc>
          <w:tcPr>
            <w:tcW w:w="453" w:type="pct"/>
            <w:vMerge w:val="continue"/>
            <w:tcMar>
              <w:left w:w="57" w:type="dxa"/>
              <w:right w:w="57" w:type="dxa"/>
            </w:tcMar>
            <w:vAlign w:val="center"/>
          </w:tcPr>
          <w:p>
            <w:pPr>
              <w:widowControl/>
              <w:jc w:val="center"/>
              <w:textAlignment w:val="center"/>
              <w:rPr>
                <w:b/>
                <w:bCs/>
                <w:color w:val="000000"/>
                <w:kern w:val="0"/>
                <w:szCs w:val="21"/>
              </w:rPr>
            </w:pPr>
          </w:p>
        </w:tc>
        <w:tc>
          <w:tcPr>
            <w:tcW w:w="407" w:type="pct"/>
            <w:tcMar>
              <w:left w:w="57" w:type="dxa"/>
              <w:right w:w="57" w:type="dxa"/>
            </w:tcMar>
            <w:vAlign w:val="center"/>
          </w:tcPr>
          <w:p>
            <w:pPr>
              <w:widowControl/>
              <w:jc w:val="center"/>
              <w:textAlignment w:val="center"/>
              <w:rPr>
                <w:color w:val="000000"/>
                <w:kern w:val="0"/>
                <w:szCs w:val="21"/>
              </w:rPr>
            </w:pPr>
            <w:r>
              <w:rPr>
                <w:color w:val="000000"/>
                <w:kern w:val="0"/>
                <w:szCs w:val="21"/>
              </w:rPr>
              <w:t>GLSG3-4</w:t>
            </w:r>
          </w:p>
        </w:tc>
        <w:tc>
          <w:tcPr>
            <w:tcW w:w="661" w:type="pct"/>
            <w:tcMar>
              <w:left w:w="57" w:type="dxa"/>
              <w:right w:w="57" w:type="dxa"/>
            </w:tcMar>
            <w:vAlign w:val="center"/>
          </w:tcPr>
          <w:p>
            <w:pPr>
              <w:widowControl/>
              <w:jc w:val="center"/>
              <w:textAlignment w:val="center"/>
              <w:rPr>
                <w:color w:val="000000"/>
                <w:szCs w:val="21"/>
              </w:rPr>
            </w:pPr>
            <w:r>
              <w:rPr>
                <w:color w:val="000000"/>
                <w:kern w:val="0"/>
                <w:szCs w:val="21"/>
              </w:rPr>
              <w:t>提供虚假信息</w:t>
            </w:r>
          </w:p>
        </w:tc>
        <w:tc>
          <w:tcPr>
            <w:tcW w:w="1300"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向省级及以上交通运输主管部门提供的项目相关信息，存在虚假的</w:t>
            </w:r>
          </w:p>
        </w:tc>
        <w:tc>
          <w:tcPr>
            <w:tcW w:w="543"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10分/次</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调查、抽查相关信息填报情况</w:t>
            </w: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通过行政主管部门、投诉或新闻媒体等渠道了解是否存在其他失信行为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453" w:type="pct"/>
            <w:vMerge w:val="continue"/>
            <w:tcMar>
              <w:left w:w="57" w:type="dxa"/>
              <w:right w:w="57" w:type="dxa"/>
            </w:tcMar>
            <w:vAlign w:val="center"/>
          </w:tcPr>
          <w:p>
            <w:pPr>
              <w:jc w:val="center"/>
              <w:rPr>
                <w:color w:val="000000"/>
                <w:szCs w:val="21"/>
              </w:rPr>
            </w:pPr>
          </w:p>
        </w:tc>
        <w:tc>
          <w:tcPr>
            <w:tcW w:w="407" w:type="pct"/>
            <w:tcMar>
              <w:left w:w="57" w:type="dxa"/>
              <w:right w:w="57" w:type="dxa"/>
            </w:tcMar>
            <w:vAlign w:val="center"/>
          </w:tcPr>
          <w:p>
            <w:pPr>
              <w:widowControl/>
              <w:jc w:val="center"/>
              <w:textAlignment w:val="center"/>
              <w:rPr>
                <w:color w:val="000000"/>
                <w:szCs w:val="21"/>
              </w:rPr>
            </w:pPr>
            <w:r>
              <w:rPr>
                <w:color w:val="000000"/>
                <w:kern w:val="0"/>
                <w:szCs w:val="21"/>
              </w:rPr>
              <w:t>GLSG3-5</w:t>
            </w:r>
          </w:p>
        </w:tc>
        <w:tc>
          <w:tcPr>
            <w:tcW w:w="661" w:type="pct"/>
            <w:tcMar>
              <w:left w:w="57" w:type="dxa"/>
              <w:right w:w="57" w:type="dxa"/>
            </w:tcMar>
            <w:vAlign w:val="center"/>
          </w:tcPr>
          <w:p>
            <w:pPr>
              <w:widowControl/>
              <w:jc w:val="center"/>
              <w:textAlignment w:val="center"/>
              <w:rPr>
                <w:color w:val="000000"/>
                <w:szCs w:val="21"/>
              </w:rPr>
            </w:pPr>
            <w:r>
              <w:rPr>
                <w:color w:val="000000"/>
                <w:szCs w:val="21"/>
              </w:rPr>
              <w:t>骗取信用</w:t>
            </w:r>
          </w:p>
          <w:p>
            <w:pPr>
              <w:widowControl/>
              <w:jc w:val="center"/>
              <w:textAlignment w:val="center"/>
              <w:rPr>
                <w:color w:val="000000"/>
                <w:szCs w:val="21"/>
              </w:rPr>
            </w:pPr>
            <w:r>
              <w:rPr>
                <w:color w:val="000000"/>
                <w:szCs w:val="21"/>
              </w:rPr>
              <w:t>评级</w:t>
            </w:r>
          </w:p>
        </w:tc>
        <w:tc>
          <w:tcPr>
            <w:tcW w:w="1300" w:type="pct"/>
            <w:tcMar>
              <w:left w:w="57" w:type="dxa"/>
              <w:right w:w="57" w:type="dxa"/>
            </w:tcMar>
            <w:vAlign w:val="center"/>
          </w:tcPr>
          <w:p>
            <w:pPr>
              <w:widowControl/>
              <w:textAlignment w:val="center"/>
              <w:rPr>
                <w:color w:val="000000"/>
                <w:szCs w:val="21"/>
              </w:rPr>
            </w:pPr>
            <w:r>
              <w:rPr>
                <w:color w:val="000000"/>
                <w:kern w:val="0"/>
                <w:szCs w:val="21"/>
              </w:rPr>
              <w:t>信用评价弄虚作假或以不正当手段骗取较高信用等级</w:t>
            </w:r>
          </w:p>
        </w:tc>
        <w:tc>
          <w:tcPr>
            <w:tcW w:w="543" w:type="pct"/>
            <w:tcMar>
              <w:left w:w="57" w:type="dxa"/>
              <w:right w:w="57" w:type="dxa"/>
            </w:tcMar>
            <w:vAlign w:val="center"/>
          </w:tcPr>
          <w:p>
            <w:pPr>
              <w:widowControl/>
              <w:jc w:val="center"/>
              <w:textAlignment w:val="center"/>
              <w:rPr>
                <w:color w:val="000000"/>
                <w:szCs w:val="21"/>
              </w:rPr>
            </w:pPr>
            <w:r>
              <w:rPr>
                <w:color w:val="000000"/>
                <w:kern w:val="0"/>
                <w:szCs w:val="21"/>
              </w:rPr>
              <w:t>15分/次</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调查信用等级相关材料、投诉举报等</w:t>
            </w:r>
          </w:p>
        </w:tc>
        <w:tc>
          <w:tcPr>
            <w:tcW w:w="883" w:type="pct"/>
            <w:tcMar>
              <w:left w:w="57" w:type="dxa"/>
              <w:right w:w="57" w:type="dxa"/>
            </w:tcMar>
            <w:vAlign w:val="center"/>
          </w:tcPr>
          <w:p>
            <w:pPr>
              <w:widowControl/>
              <w:jc w:val="center"/>
              <w:textAlignment w:val="center"/>
              <w:rPr>
                <w:color w:val="00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453" w:type="pct"/>
            <w:vMerge w:val="continue"/>
            <w:tcMar>
              <w:left w:w="57" w:type="dxa"/>
              <w:right w:w="57" w:type="dxa"/>
            </w:tcMar>
            <w:vAlign w:val="center"/>
          </w:tcPr>
          <w:p>
            <w:pPr>
              <w:jc w:val="center"/>
              <w:rPr>
                <w:color w:val="000000"/>
                <w:szCs w:val="21"/>
              </w:rPr>
            </w:pPr>
          </w:p>
        </w:tc>
        <w:tc>
          <w:tcPr>
            <w:tcW w:w="407" w:type="pct"/>
            <w:shd w:val="clear" w:color="auto" w:fill="auto"/>
            <w:tcMar>
              <w:left w:w="57" w:type="dxa"/>
              <w:right w:w="57" w:type="dxa"/>
            </w:tcMar>
            <w:vAlign w:val="center"/>
          </w:tcPr>
          <w:p>
            <w:pPr>
              <w:widowControl/>
              <w:jc w:val="center"/>
              <w:textAlignment w:val="center"/>
              <w:rPr>
                <w:color w:val="000000"/>
                <w:szCs w:val="21"/>
              </w:rPr>
            </w:pPr>
            <w:r>
              <w:rPr>
                <w:color w:val="000000"/>
                <w:kern w:val="0"/>
                <w:szCs w:val="21"/>
              </w:rPr>
              <w:t>GLSG3-6</w:t>
            </w:r>
          </w:p>
        </w:tc>
        <w:tc>
          <w:tcPr>
            <w:tcW w:w="661" w:type="pct"/>
            <w:tcMar>
              <w:left w:w="57" w:type="dxa"/>
              <w:right w:w="57" w:type="dxa"/>
            </w:tcMar>
            <w:vAlign w:val="center"/>
          </w:tcPr>
          <w:p>
            <w:pPr>
              <w:widowControl/>
              <w:jc w:val="center"/>
              <w:textAlignment w:val="center"/>
              <w:rPr>
                <w:color w:val="000000"/>
                <w:szCs w:val="21"/>
              </w:rPr>
            </w:pPr>
            <w:r>
              <w:rPr>
                <w:color w:val="000000"/>
                <w:kern w:val="0"/>
                <w:szCs w:val="21"/>
              </w:rPr>
              <w:t>对有关技术要求拒不执行的</w:t>
            </w:r>
          </w:p>
        </w:tc>
        <w:tc>
          <w:tcPr>
            <w:tcW w:w="1300" w:type="pct"/>
            <w:shd w:val="clear" w:color="auto" w:fill="auto"/>
            <w:tcMar>
              <w:left w:w="57" w:type="dxa"/>
              <w:right w:w="57" w:type="dxa"/>
            </w:tcMar>
            <w:vAlign w:val="center"/>
          </w:tcPr>
          <w:p>
            <w:pPr>
              <w:widowControl/>
              <w:textAlignment w:val="center"/>
              <w:rPr>
                <w:color w:val="000000"/>
                <w:szCs w:val="21"/>
              </w:rPr>
            </w:pPr>
            <w:r>
              <w:rPr>
                <w:color w:val="000000"/>
                <w:kern w:val="0"/>
                <w:szCs w:val="21"/>
              </w:rPr>
              <w:t>对交通运输主管部门提出的有关技术要求拒不执行的</w:t>
            </w:r>
          </w:p>
        </w:tc>
        <w:tc>
          <w:tcPr>
            <w:tcW w:w="543" w:type="pct"/>
            <w:shd w:val="clear" w:color="auto" w:fill="auto"/>
            <w:tcMar>
              <w:left w:w="57" w:type="dxa"/>
              <w:right w:w="57" w:type="dxa"/>
            </w:tcMar>
            <w:vAlign w:val="center"/>
          </w:tcPr>
          <w:p>
            <w:pPr>
              <w:widowControl/>
              <w:jc w:val="center"/>
              <w:textAlignment w:val="center"/>
              <w:rPr>
                <w:color w:val="000000"/>
                <w:szCs w:val="21"/>
              </w:rPr>
            </w:pPr>
            <w:r>
              <w:rPr>
                <w:color w:val="000000"/>
                <w:kern w:val="0"/>
                <w:szCs w:val="21"/>
              </w:rPr>
              <w:t>5分/次</w:t>
            </w:r>
          </w:p>
        </w:tc>
        <w:tc>
          <w:tcPr>
            <w:tcW w:w="752" w:type="pct"/>
            <w:tcMar>
              <w:left w:w="57" w:type="dxa"/>
              <w:right w:w="57" w:type="dxa"/>
            </w:tcMar>
            <w:vAlign w:val="center"/>
          </w:tcPr>
          <w:p>
            <w:pPr>
              <w:widowControl/>
              <w:jc w:val="center"/>
              <w:textAlignment w:val="center"/>
              <w:rPr>
                <w:color w:val="000000"/>
                <w:kern w:val="0"/>
                <w:szCs w:val="21"/>
              </w:rPr>
            </w:pP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通过行政主管部门、投诉或新闻媒体等渠道了解是否存在其他失信行为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453" w:type="pct"/>
            <w:vMerge w:val="continue"/>
            <w:tcMar>
              <w:left w:w="57" w:type="dxa"/>
              <w:right w:w="57" w:type="dxa"/>
            </w:tcMar>
            <w:vAlign w:val="center"/>
          </w:tcPr>
          <w:p>
            <w:pPr>
              <w:jc w:val="center"/>
              <w:rPr>
                <w:color w:val="000000"/>
                <w:szCs w:val="21"/>
              </w:rPr>
            </w:pPr>
          </w:p>
        </w:tc>
        <w:tc>
          <w:tcPr>
            <w:tcW w:w="407"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GLSG3-7</w:t>
            </w:r>
          </w:p>
        </w:tc>
        <w:tc>
          <w:tcPr>
            <w:tcW w:w="661" w:type="pct"/>
            <w:tcMar>
              <w:left w:w="57" w:type="dxa"/>
              <w:right w:w="57" w:type="dxa"/>
            </w:tcMar>
            <w:vAlign w:val="center"/>
          </w:tcPr>
          <w:p>
            <w:pPr>
              <w:widowControl/>
              <w:jc w:val="center"/>
              <w:textAlignment w:val="center"/>
              <w:rPr>
                <w:color w:val="000000"/>
                <w:kern w:val="0"/>
                <w:szCs w:val="21"/>
              </w:rPr>
            </w:pPr>
            <w:r>
              <w:rPr>
                <w:color w:val="000000"/>
                <w:kern w:val="0"/>
                <w:szCs w:val="21"/>
              </w:rPr>
              <w:t>被列入国家和省级惩戒备忘录公布的惩戒行为</w:t>
            </w:r>
          </w:p>
        </w:tc>
        <w:tc>
          <w:tcPr>
            <w:tcW w:w="1300"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被列入国家和省级惩戒备忘录公布的惩戒行为</w:t>
            </w:r>
          </w:p>
        </w:tc>
        <w:tc>
          <w:tcPr>
            <w:tcW w:w="543"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调查惩戒相关材料、投诉举报等</w:t>
            </w: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将属于一类的行为认定标准合并或完善，避免重复、多重扣分等情况发生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453" w:type="pct"/>
            <w:vMerge w:val="continue"/>
            <w:tcMar>
              <w:left w:w="57" w:type="dxa"/>
              <w:right w:w="57" w:type="dxa"/>
            </w:tcMar>
            <w:vAlign w:val="center"/>
          </w:tcPr>
          <w:p>
            <w:pPr>
              <w:jc w:val="center"/>
              <w:rPr>
                <w:color w:val="000000"/>
                <w:szCs w:val="21"/>
              </w:rPr>
            </w:pPr>
          </w:p>
        </w:tc>
        <w:tc>
          <w:tcPr>
            <w:tcW w:w="407"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GLSG3-8</w:t>
            </w:r>
          </w:p>
        </w:tc>
        <w:tc>
          <w:tcPr>
            <w:tcW w:w="661" w:type="pct"/>
            <w:tcMar>
              <w:left w:w="57" w:type="dxa"/>
              <w:right w:w="57" w:type="dxa"/>
            </w:tcMar>
            <w:vAlign w:val="center"/>
          </w:tcPr>
          <w:p>
            <w:pPr>
              <w:widowControl/>
              <w:jc w:val="center"/>
              <w:textAlignment w:val="center"/>
              <w:rPr>
                <w:color w:val="000000"/>
                <w:kern w:val="0"/>
                <w:szCs w:val="21"/>
              </w:rPr>
            </w:pPr>
            <w:r>
              <w:rPr>
                <w:color w:val="000000"/>
                <w:kern w:val="0"/>
                <w:szCs w:val="21"/>
              </w:rPr>
              <w:t>被国务院交通运输主管部门通报批评</w:t>
            </w:r>
          </w:p>
        </w:tc>
        <w:tc>
          <w:tcPr>
            <w:tcW w:w="1300"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被交通运输部通报批评</w:t>
            </w:r>
          </w:p>
        </w:tc>
        <w:tc>
          <w:tcPr>
            <w:tcW w:w="543"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8分/次</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调查是否在相关通报批评的通知中、投诉举报中等</w:t>
            </w: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通过行政主管部门、投诉或新闻媒体等渠道了解是否存在其他失信行为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453" w:type="pct"/>
            <w:vMerge w:val="continue"/>
            <w:tcMar>
              <w:left w:w="57" w:type="dxa"/>
              <w:right w:w="57" w:type="dxa"/>
            </w:tcMar>
            <w:vAlign w:val="center"/>
          </w:tcPr>
          <w:p>
            <w:pPr>
              <w:jc w:val="center"/>
              <w:rPr>
                <w:color w:val="000000"/>
                <w:szCs w:val="21"/>
              </w:rPr>
            </w:pPr>
          </w:p>
        </w:tc>
        <w:tc>
          <w:tcPr>
            <w:tcW w:w="407"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GLSG3-9</w:t>
            </w:r>
          </w:p>
        </w:tc>
        <w:tc>
          <w:tcPr>
            <w:tcW w:w="661" w:type="pct"/>
            <w:tcMar>
              <w:left w:w="57" w:type="dxa"/>
              <w:right w:w="57" w:type="dxa"/>
            </w:tcMar>
            <w:vAlign w:val="center"/>
          </w:tcPr>
          <w:p>
            <w:pPr>
              <w:widowControl/>
              <w:jc w:val="center"/>
              <w:textAlignment w:val="center"/>
              <w:rPr>
                <w:color w:val="000000"/>
                <w:kern w:val="0"/>
                <w:szCs w:val="21"/>
              </w:rPr>
            </w:pPr>
            <w:r>
              <w:rPr>
                <w:color w:val="000000"/>
                <w:kern w:val="0"/>
                <w:szCs w:val="21"/>
              </w:rPr>
              <w:t>被省级交通运输主管部门通报批评</w:t>
            </w:r>
          </w:p>
        </w:tc>
        <w:tc>
          <w:tcPr>
            <w:tcW w:w="1300"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被省交通运输厅通报批评</w:t>
            </w:r>
          </w:p>
        </w:tc>
        <w:tc>
          <w:tcPr>
            <w:tcW w:w="543"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5分/次</w:t>
            </w:r>
          </w:p>
        </w:tc>
        <w:tc>
          <w:tcPr>
            <w:tcW w:w="752" w:type="pct"/>
            <w:tcMar>
              <w:left w:w="57" w:type="dxa"/>
              <w:right w:w="57" w:type="dxa"/>
            </w:tcMar>
            <w:vAlign w:val="center"/>
          </w:tcPr>
          <w:p>
            <w:pPr>
              <w:widowControl/>
              <w:jc w:val="center"/>
              <w:textAlignment w:val="center"/>
              <w:rPr>
                <w:color w:val="000000"/>
                <w:kern w:val="0"/>
                <w:szCs w:val="21"/>
              </w:rPr>
            </w:pP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通过行政主管部门、投诉或新闻媒体等渠道了解是否存在其他失信行为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570" w:hRule="atLeast"/>
          <w:jc w:val="center"/>
        </w:trPr>
        <w:tc>
          <w:tcPr>
            <w:tcW w:w="453" w:type="pct"/>
            <w:vMerge w:val="continue"/>
            <w:tcMar>
              <w:left w:w="57" w:type="dxa"/>
              <w:right w:w="57" w:type="dxa"/>
            </w:tcMar>
            <w:vAlign w:val="center"/>
          </w:tcPr>
          <w:p>
            <w:pPr>
              <w:jc w:val="center"/>
              <w:rPr>
                <w:color w:val="000000"/>
                <w:szCs w:val="21"/>
              </w:rPr>
            </w:pPr>
          </w:p>
        </w:tc>
        <w:tc>
          <w:tcPr>
            <w:tcW w:w="407"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GLSG3-10</w:t>
            </w:r>
          </w:p>
        </w:tc>
        <w:tc>
          <w:tcPr>
            <w:tcW w:w="661" w:type="pct"/>
            <w:tcMar>
              <w:left w:w="57" w:type="dxa"/>
              <w:right w:w="57" w:type="dxa"/>
            </w:tcMar>
            <w:vAlign w:val="center"/>
          </w:tcPr>
          <w:p>
            <w:pPr>
              <w:widowControl/>
              <w:jc w:val="center"/>
              <w:textAlignment w:val="center"/>
              <w:rPr>
                <w:color w:val="000000"/>
                <w:kern w:val="0"/>
                <w:szCs w:val="21"/>
              </w:rPr>
            </w:pPr>
            <w:r>
              <w:rPr>
                <w:color w:val="000000"/>
                <w:kern w:val="0"/>
                <w:szCs w:val="21"/>
              </w:rPr>
              <w:t>被市（州）级交通运输主管部门通报批评</w:t>
            </w:r>
          </w:p>
        </w:tc>
        <w:tc>
          <w:tcPr>
            <w:tcW w:w="1300" w:type="pct"/>
            <w:shd w:val="clear" w:color="auto" w:fill="auto"/>
            <w:tcMar>
              <w:left w:w="57" w:type="dxa"/>
              <w:right w:w="57" w:type="dxa"/>
            </w:tcMar>
            <w:vAlign w:val="center"/>
          </w:tcPr>
          <w:p>
            <w:pPr>
              <w:widowControl/>
              <w:textAlignment w:val="center"/>
              <w:rPr>
                <w:color w:val="000000"/>
                <w:kern w:val="0"/>
                <w:szCs w:val="21"/>
              </w:rPr>
            </w:pPr>
            <w:r>
              <w:rPr>
                <w:color w:val="000000"/>
                <w:kern w:val="0"/>
                <w:szCs w:val="21"/>
              </w:rPr>
              <w:t>被省交通运输厅通报批评</w:t>
            </w:r>
          </w:p>
        </w:tc>
        <w:tc>
          <w:tcPr>
            <w:tcW w:w="543" w:type="pct"/>
            <w:shd w:val="clear" w:color="auto" w:fill="auto"/>
            <w:tcMar>
              <w:left w:w="57" w:type="dxa"/>
              <w:right w:w="57" w:type="dxa"/>
            </w:tcMar>
            <w:vAlign w:val="center"/>
          </w:tcPr>
          <w:p>
            <w:pPr>
              <w:widowControl/>
              <w:jc w:val="center"/>
              <w:textAlignment w:val="center"/>
              <w:rPr>
                <w:color w:val="000000"/>
                <w:kern w:val="0"/>
                <w:szCs w:val="21"/>
              </w:rPr>
            </w:pPr>
            <w:r>
              <w:rPr>
                <w:color w:val="000000"/>
                <w:kern w:val="0"/>
                <w:szCs w:val="21"/>
              </w:rPr>
              <w:t>3分/次</w:t>
            </w:r>
          </w:p>
        </w:tc>
        <w:tc>
          <w:tcPr>
            <w:tcW w:w="752" w:type="pct"/>
            <w:tcMar>
              <w:left w:w="57" w:type="dxa"/>
              <w:right w:w="57" w:type="dxa"/>
            </w:tcMar>
            <w:vAlign w:val="center"/>
          </w:tcPr>
          <w:p>
            <w:pPr>
              <w:widowControl/>
              <w:jc w:val="center"/>
              <w:textAlignment w:val="center"/>
              <w:rPr>
                <w:color w:val="000000"/>
                <w:kern w:val="0"/>
                <w:szCs w:val="21"/>
              </w:rPr>
            </w:pPr>
          </w:p>
        </w:tc>
        <w:tc>
          <w:tcPr>
            <w:tcW w:w="883" w:type="pct"/>
            <w:tcMar>
              <w:left w:w="57" w:type="dxa"/>
              <w:right w:w="57" w:type="dxa"/>
            </w:tcMar>
            <w:vAlign w:val="center"/>
          </w:tcPr>
          <w:p>
            <w:pPr>
              <w:widowControl/>
              <w:textAlignment w:val="center"/>
              <w:rPr>
                <w:color w:val="000000"/>
                <w:kern w:val="0"/>
                <w:szCs w:val="21"/>
              </w:rPr>
            </w:pPr>
            <w:r>
              <w:rPr>
                <w:color w:val="000000"/>
                <w:kern w:val="0"/>
                <w:szCs w:val="21"/>
              </w:rPr>
              <w:t>通过行政主管部门、投诉或新闻媒体等渠道了解是否存在其他失信行为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648" w:hRule="atLeast"/>
          <w:jc w:val="center"/>
        </w:trPr>
        <w:tc>
          <w:tcPr>
            <w:tcW w:w="453" w:type="pct"/>
            <w:vMerge w:val="continue"/>
            <w:tcMar>
              <w:left w:w="57" w:type="dxa"/>
              <w:right w:w="57" w:type="dxa"/>
            </w:tcMar>
            <w:vAlign w:val="center"/>
          </w:tcPr>
          <w:p>
            <w:pPr>
              <w:jc w:val="center"/>
              <w:rPr>
                <w:color w:val="000000"/>
                <w:szCs w:val="21"/>
              </w:rPr>
            </w:pPr>
          </w:p>
        </w:tc>
        <w:tc>
          <w:tcPr>
            <w:tcW w:w="407" w:type="pct"/>
            <w:tcMar>
              <w:left w:w="57" w:type="dxa"/>
              <w:right w:w="57" w:type="dxa"/>
            </w:tcMar>
            <w:vAlign w:val="center"/>
          </w:tcPr>
          <w:p>
            <w:pPr>
              <w:widowControl/>
              <w:jc w:val="center"/>
              <w:textAlignment w:val="center"/>
              <w:rPr>
                <w:color w:val="000000"/>
                <w:szCs w:val="21"/>
              </w:rPr>
            </w:pPr>
            <w:r>
              <w:rPr>
                <w:color w:val="000000"/>
                <w:kern w:val="0"/>
                <w:szCs w:val="21"/>
              </w:rPr>
              <w:t>GLSG3-11</w:t>
            </w:r>
          </w:p>
        </w:tc>
        <w:tc>
          <w:tcPr>
            <w:tcW w:w="661" w:type="pct"/>
            <w:tcMar>
              <w:left w:w="57" w:type="dxa"/>
              <w:right w:w="57" w:type="dxa"/>
            </w:tcMar>
            <w:vAlign w:val="center"/>
          </w:tcPr>
          <w:p>
            <w:pPr>
              <w:widowControl/>
              <w:jc w:val="center"/>
              <w:textAlignment w:val="center"/>
              <w:rPr>
                <w:color w:val="000000"/>
                <w:szCs w:val="21"/>
              </w:rPr>
            </w:pPr>
            <w:r>
              <w:rPr>
                <w:color w:val="000000"/>
                <w:kern w:val="0"/>
                <w:szCs w:val="21"/>
              </w:rPr>
              <w:t>其他被认为失信的行为</w:t>
            </w:r>
          </w:p>
        </w:tc>
        <w:tc>
          <w:tcPr>
            <w:tcW w:w="1300" w:type="pct"/>
            <w:tcMar>
              <w:left w:w="57" w:type="dxa"/>
              <w:right w:w="57" w:type="dxa"/>
            </w:tcMar>
            <w:vAlign w:val="center"/>
          </w:tcPr>
          <w:p>
            <w:pPr>
              <w:widowControl/>
              <w:textAlignment w:val="center"/>
              <w:rPr>
                <w:color w:val="000000"/>
                <w:szCs w:val="21"/>
              </w:rPr>
            </w:pPr>
            <w:r>
              <w:rPr>
                <w:color w:val="000000"/>
                <w:kern w:val="0"/>
                <w:szCs w:val="21"/>
              </w:rPr>
              <w:t>被国家或交通运输主管部门认定的其他失信的行为</w:t>
            </w:r>
          </w:p>
        </w:tc>
        <w:tc>
          <w:tcPr>
            <w:tcW w:w="543" w:type="pct"/>
            <w:tcMar>
              <w:left w:w="57" w:type="dxa"/>
              <w:right w:w="57" w:type="dxa"/>
            </w:tcMar>
            <w:vAlign w:val="center"/>
          </w:tcPr>
          <w:p>
            <w:pPr>
              <w:widowControl/>
              <w:jc w:val="center"/>
              <w:textAlignment w:val="center"/>
              <w:rPr>
                <w:color w:val="000000"/>
                <w:szCs w:val="21"/>
              </w:rPr>
            </w:pPr>
            <w:r>
              <w:rPr>
                <w:color w:val="000000"/>
                <w:kern w:val="0"/>
                <w:szCs w:val="21"/>
              </w:rPr>
              <w:t>1-5分</w:t>
            </w:r>
          </w:p>
        </w:tc>
        <w:tc>
          <w:tcPr>
            <w:tcW w:w="752" w:type="pct"/>
            <w:tcMar>
              <w:left w:w="57" w:type="dxa"/>
              <w:right w:w="57" w:type="dxa"/>
            </w:tcMar>
            <w:vAlign w:val="center"/>
          </w:tcPr>
          <w:p>
            <w:pPr>
              <w:widowControl/>
              <w:jc w:val="center"/>
              <w:textAlignment w:val="center"/>
              <w:rPr>
                <w:color w:val="000000"/>
                <w:kern w:val="0"/>
                <w:szCs w:val="21"/>
              </w:rPr>
            </w:pPr>
            <w:r>
              <w:rPr>
                <w:color w:val="000000"/>
                <w:kern w:val="0"/>
                <w:szCs w:val="21"/>
              </w:rPr>
              <w:t>核查相关信用信息平台中是否存在其他失信记录、台账记录等</w:t>
            </w:r>
          </w:p>
        </w:tc>
        <w:tc>
          <w:tcPr>
            <w:tcW w:w="883" w:type="pct"/>
            <w:tcMar>
              <w:left w:w="57" w:type="dxa"/>
              <w:right w:w="57" w:type="dxa"/>
            </w:tcMar>
            <w:vAlign w:val="center"/>
          </w:tcPr>
          <w:p>
            <w:pPr>
              <w:widowControl/>
              <w:jc w:val="center"/>
              <w:textAlignment w:val="center"/>
              <w:rPr>
                <w:color w:val="000000"/>
                <w:kern w:val="0"/>
                <w:szCs w:val="21"/>
              </w:rPr>
            </w:pPr>
          </w:p>
        </w:tc>
      </w:tr>
    </w:tbl>
    <w:p>
      <w:pPr>
        <w:jc w:val="left"/>
      </w:pPr>
    </w:p>
    <w:sectPr>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09267"/>
    </w:sdtPr>
    <w:sdtContent>
      <w:p>
        <w:pPr>
          <w:pStyle w:val="9"/>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50848"/>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A2E83"/>
    <w:multiLevelType w:val="multilevel"/>
    <w:tmpl w:val="139A2E83"/>
    <w:lvl w:ilvl="0" w:tentative="0">
      <w:start w:val="1"/>
      <w:numFmt w:val="chineseCountingThousand"/>
      <w:lvlText w:val="第%1条"/>
      <w:lvlJc w:val="left"/>
      <w:pPr>
        <w:ind w:left="8358" w:hanging="420"/>
      </w:pPr>
      <w:rPr>
        <w:rFonts w:hint="eastAsia" w:ascii="楷体_GB2312" w:hAnsi="Times New Roman" w:eastAsia="楷体_GB2312"/>
        <w:b/>
        <w:bCs w:val="0"/>
        <w:i w:val="0"/>
        <w:sz w:val="32"/>
        <w:szCs w:val="32"/>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6"/>
    <w:rsid w:val="000008A5"/>
    <w:rsid w:val="00001766"/>
    <w:rsid w:val="00002F51"/>
    <w:rsid w:val="000030C5"/>
    <w:rsid w:val="0000373D"/>
    <w:rsid w:val="00003832"/>
    <w:rsid w:val="00003F27"/>
    <w:rsid w:val="00006BDF"/>
    <w:rsid w:val="000074A2"/>
    <w:rsid w:val="00010A46"/>
    <w:rsid w:val="00010D80"/>
    <w:rsid w:val="00011005"/>
    <w:rsid w:val="00011993"/>
    <w:rsid w:val="00012044"/>
    <w:rsid w:val="00012062"/>
    <w:rsid w:val="0001294A"/>
    <w:rsid w:val="0001535C"/>
    <w:rsid w:val="00016C47"/>
    <w:rsid w:val="00017BBF"/>
    <w:rsid w:val="00020AE8"/>
    <w:rsid w:val="0002253B"/>
    <w:rsid w:val="00023F30"/>
    <w:rsid w:val="00024515"/>
    <w:rsid w:val="0002693E"/>
    <w:rsid w:val="00026946"/>
    <w:rsid w:val="000278DD"/>
    <w:rsid w:val="00027DEF"/>
    <w:rsid w:val="0003101A"/>
    <w:rsid w:val="00032A5A"/>
    <w:rsid w:val="00033B7A"/>
    <w:rsid w:val="00033FFD"/>
    <w:rsid w:val="00035032"/>
    <w:rsid w:val="00036976"/>
    <w:rsid w:val="00036A00"/>
    <w:rsid w:val="000377BB"/>
    <w:rsid w:val="00040278"/>
    <w:rsid w:val="00041C2F"/>
    <w:rsid w:val="000422E3"/>
    <w:rsid w:val="00042DCE"/>
    <w:rsid w:val="00042EE6"/>
    <w:rsid w:val="00042F7D"/>
    <w:rsid w:val="00045050"/>
    <w:rsid w:val="000462AB"/>
    <w:rsid w:val="00046409"/>
    <w:rsid w:val="000472CB"/>
    <w:rsid w:val="00047883"/>
    <w:rsid w:val="00047958"/>
    <w:rsid w:val="000506A3"/>
    <w:rsid w:val="0005270B"/>
    <w:rsid w:val="00053284"/>
    <w:rsid w:val="00053742"/>
    <w:rsid w:val="00054088"/>
    <w:rsid w:val="00054364"/>
    <w:rsid w:val="0005475B"/>
    <w:rsid w:val="0005491C"/>
    <w:rsid w:val="00055AE7"/>
    <w:rsid w:val="00060A2E"/>
    <w:rsid w:val="00062142"/>
    <w:rsid w:val="00063A29"/>
    <w:rsid w:val="00063FEF"/>
    <w:rsid w:val="00064DDE"/>
    <w:rsid w:val="00070B26"/>
    <w:rsid w:val="00070C24"/>
    <w:rsid w:val="0007268E"/>
    <w:rsid w:val="0007348B"/>
    <w:rsid w:val="0007376A"/>
    <w:rsid w:val="00073D43"/>
    <w:rsid w:val="000748C3"/>
    <w:rsid w:val="000750B8"/>
    <w:rsid w:val="00075D7B"/>
    <w:rsid w:val="00077809"/>
    <w:rsid w:val="00077D3A"/>
    <w:rsid w:val="000809D9"/>
    <w:rsid w:val="00081EE9"/>
    <w:rsid w:val="00082440"/>
    <w:rsid w:val="00082BFB"/>
    <w:rsid w:val="00083BD7"/>
    <w:rsid w:val="00083CF1"/>
    <w:rsid w:val="000873FA"/>
    <w:rsid w:val="00090754"/>
    <w:rsid w:val="00092047"/>
    <w:rsid w:val="000924B2"/>
    <w:rsid w:val="000926F1"/>
    <w:rsid w:val="0009365A"/>
    <w:rsid w:val="00096371"/>
    <w:rsid w:val="00096AEA"/>
    <w:rsid w:val="00097312"/>
    <w:rsid w:val="000A0B63"/>
    <w:rsid w:val="000A32F4"/>
    <w:rsid w:val="000A39E0"/>
    <w:rsid w:val="000A3BBC"/>
    <w:rsid w:val="000A4594"/>
    <w:rsid w:val="000A5C8B"/>
    <w:rsid w:val="000A765F"/>
    <w:rsid w:val="000B1282"/>
    <w:rsid w:val="000B20E9"/>
    <w:rsid w:val="000B21EE"/>
    <w:rsid w:val="000B32FE"/>
    <w:rsid w:val="000B373B"/>
    <w:rsid w:val="000B3E04"/>
    <w:rsid w:val="000B443F"/>
    <w:rsid w:val="000C2DD9"/>
    <w:rsid w:val="000C41E4"/>
    <w:rsid w:val="000C508D"/>
    <w:rsid w:val="000C5D2E"/>
    <w:rsid w:val="000C64BE"/>
    <w:rsid w:val="000D027F"/>
    <w:rsid w:val="000D1E11"/>
    <w:rsid w:val="000D6AF5"/>
    <w:rsid w:val="000E0F83"/>
    <w:rsid w:val="000E10BD"/>
    <w:rsid w:val="000E2729"/>
    <w:rsid w:val="000E3ACE"/>
    <w:rsid w:val="000E5567"/>
    <w:rsid w:val="000E73A2"/>
    <w:rsid w:val="000E7C16"/>
    <w:rsid w:val="000F0777"/>
    <w:rsid w:val="000F0935"/>
    <w:rsid w:val="000F1455"/>
    <w:rsid w:val="000F1741"/>
    <w:rsid w:val="000F1A5E"/>
    <w:rsid w:val="000F1AA4"/>
    <w:rsid w:val="000F3CF3"/>
    <w:rsid w:val="000F4488"/>
    <w:rsid w:val="000F489D"/>
    <w:rsid w:val="000F535B"/>
    <w:rsid w:val="000F797C"/>
    <w:rsid w:val="00100A36"/>
    <w:rsid w:val="001015EA"/>
    <w:rsid w:val="00101A5F"/>
    <w:rsid w:val="00102658"/>
    <w:rsid w:val="00103C04"/>
    <w:rsid w:val="00104B39"/>
    <w:rsid w:val="00106553"/>
    <w:rsid w:val="0010708F"/>
    <w:rsid w:val="00107090"/>
    <w:rsid w:val="001070CF"/>
    <w:rsid w:val="00107619"/>
    <w:rsid w:val="00107D77"/>
    <w:rsid w:val="00114D6E"/>
    <w:rsid w:val="00114D83"/>
    <w:rsid w:val="0011518B"/>
    <w:rsid w:val="001160A1"/>
    <w:rsid w:val="00116D7A"/>
    <w:rsid w:val="001211A6"/>
    <w:rsid w:val="00122268"/>
    <w:rsid w:val="00123C66"/>
    <w:rsid w:val="00124A5A"/>
    <w:rsid w:val="00127121"/>
    <w:rsid w:val="001315C5"/>
    <w:rsid w:val="001320E9"/>
    <w:rsid w:val="001321B7"/>
    <w:rsid w:val="00135032"/>
    <w:rsid w:val="00136E4F"/>
    <w:rsid w:val="00137441"/>
    <w:rsid w:val="001422F2"/>
    <w:rsid w:val="00142481"/>
    <w:rsid w:val="0014609E"/>
    <w:rsid w:val="0014610E"/>
    <w:rsid w:val="00146EF7"/>
    <w:rsid w:val="001475D6"/>
    <w:rsid w:val="00147BE1"/>
    <w:rsid w:val="00154F73"/>
    <w:rsid w:val="00155D97"/>
    <w:rsid w:val="00156B4B"/>
    <w:rsid w:val="00162892"/>
    <w:rsid w:val="00162970"/>
    <w:rsid w:val="00162981"/>
    <w:rsid w:val="001635CE"/>
    <w:rsid w:val="0016788F"/>
    <w:rsid w:val="00170003"/>
    <w:rsid w:val="0017133A"/>
    <w:rsid w:val="00173A47"/>
    <w:rsid w:val="00173BEB"/>
    <w:rsid w:val="00173D39"/>
    <w:rsid w:val="0017530D"/>
    <w:rsid w:val="00175C55"/>
    <w:rsid w:val="00175CF4"/>
    <w:rsid w:val="00177402"/>
    <w:rsid w:val="00181451"/>
    <w:rsid w:val="001818A5"/>
    <w:rsid w:val="00182019"/>
    <w:rsid w:val="00185E72"/>
    <w:rsid w:val="0018652D"/>
    <w:rsid w:val="00186CBB"/>
    <w:rsid w:val="00186CCA"/>
    <w:rsid w:val="001927BB"/>
    <w:rsid w:val="00193C00"/>
    <w:rsid w:val="00194020"/>
    <w:rsid w:val="0019575E"/>
    <w:rsid w:val="00195E49"/>
    <w:rsid w:val="001A0684"/>
    <w:rsid w:val="001A08C9"/>
    <w:rsid w:val="001A301B"/>
    <w:rsid w:val="001A32F0"/>
    <w:rsid w:val="001A363F"/>
    <w:rsid w:val="001A5113"/>
    <w:rsid w:val="001A63C7"/>
    <w:rsid w:val="001B114C"/>
    <w:rsid w:val="001B1F52"/>
    <w:rsid w:val="001B1F77"/>
    <w:rsid w:val="001B595C"/>
    <w:rsid w:val="001B7107"/>
    <w:rsid w:val="001B7F97"/>
    <w:rsid w:val="001C2FDA"/>
    <w:rsid w:val="001C3D4E"/>
    <w:rsid w:val="001C3D70"/>
    <w:rsid w:val="001C45B3"/>
    <w:rsid w:val="001C4B0F"/>
    <w:rsid w:val="001C53D8"/>
    <w:rsid w:val="001C5406"/>
    <w:rsid w:val="001C5AAC"/>
    <w:rsid w:val="001D0564"/>
    <w:rsid w:val="001D0E6C"/>
    <w:rsid w:val="001D1421"/>
    <w:rsid w:val="001D16BD"/>
    <w:rsid w:val="001D236C"/>
    <w:rsid w:val="001D319C"/>
    <w:rsid w:val="001D340C"/>
    <w:rsid w:val="001D4AD7"/>
    <w:rsid w:val="001D4F8D"/>
    <w:rsid w:val="001D67BC"/>
    <w:rsid w:val="001D7FF2"/>
    <w:rsid w:val="001E08AD"/>
    <w:rsid w:val="001E127D"/>
    <w:rsid w:val="001E17D4"/>
    <w:rsid w:val="001E5C0F"/>
    <w:rsid w:val="001E6A2E"/>
    <w:rsid w:val="001F0679"/>
    <w:rsid w:val="001F0A6C"/>
    <w:rsid w:val="001F1F07"/>
    <w:rsid w:val="001F4A12"/>
    <w:rsid w:val="001F4F56"/>
    <w:rsid w:val="001F4F9A"/>
    <w:rsid w:val="00202AB9"/>
    <w:rsid w:val="00203E5E"/>
    <w:rsid w:val="00205F0B"/>
    <w:rsid w:val="0020715C"/>
    <w:rsid w:val="0020790D"/>
    <w:rsid w:val="0021014F"/>
    <w:rsid w:val="00210205"/>
    <w:rsid w:val="00210718"/>
    <w:rsid w:val="00211B74"/>
    <w:rsid w:val="00214928"/>
    <w:rsid w:val="00215621"/>
    <w:rsid w:val="00217F02"/>
    <w:rsid w:val="002237EB"/>
    <w:rsid w:val="00224FE4"/>
    <w:rsid w:val="00226257"/>
    <w:rsid w:val="0023117E"/>
    <w:rsid w:val="0023118C"/>
    <w:rsid w:val="00232A94"/>
    <w:rsid w:val="0024014E"/>
    <w:rsid w:val="002419A5"/>
    <w:rsid w:val="00241C2D"/>
    <w:rsid w:val="00242CA7"/>
    <w:rsid w:val="00242EF8"/>
    <w:rsid w:val="00244BB1"/>
    <w:rsid w:val="00246C10"/>
    <w:rsid w:val="00247D5F"/>
    <w:rsid w:val="0025007B"/>
    <w:rsid w:val="00251A53"/>
    <w:rsid w:val="00251AE6"/>
    <w:rsid w:val="00251DA1"/>
    <w:rsid w:val="00251FBF"/>
    <w:rsid w:val="00253C41"/>
    <w:rsid w:val="00257035"/>
    <w:rsid w:val="00260D85"/>
    <w:rsid w:val="0026308E"/>
    <w:rsid w:val="0026309F"/>
    <w:rsid w:val="00265364"/>
    <w:rsid w:val="0027008F"/>
    <w:rsid w:val="00273BF1"/>
    <w:rsid w:val="0027408F"/>
    <w:rsid w:val="00274D64"/>
    <w:rsid w:val="00275277"/>
    <w:rsid w:val="0027588E"/>
    <w:rsid w:val="0027713F"/>
    <w:rsid w:val="00283122"/>
    <w:rsid w:val="0028407A"/>
    <w:rsid w:val="00284D8A"/>
    <w:rsid w:val="00284E38"/>
    <w:rsid w:val="00291DA2"/>
    <w:rsid w:val="0029471A"/>
    <w:rsid w:val="00295BDA"/>
    <w:rsid w:val="00295F8A"/>
    <w:rsid w:val="002964C9"/>
    <w:rsid w:val="002A0A08"/>
    <w:rsid w:val="002A5C28"/>
    <w:rsid w:val="002A6644"/>
    <w:rsid w:val="002A69C2"/>
    <w:rsid w:val="002A6ADC"/>
    <w:rsid w:val="002A6ED4"/>
    <w:rsid w:val="002A716D"/>
    <w:rsid w:val="002A71E7"/>
    <w:rsid w:val="002A7B98"/>
    <w:rsid w:val="002B1154"/>
    <w:rsid w:val="002B2483"/>
    <w:rsid w:val="002B377E"/>
    <w:rsid w:val="002B44F6"/>
    <w:rsid w:val="002B5963"/>
    <w:rsid w:val="002B71B8"/>
    <w:rsid w:val="002B7ECF"/>
    <w:rsid w:val="002C0627"/>
    <w:rsid w:val="002C1445"/>
    <w:rsid w:val="002C2AB4"/>
    <w:rsid w:val="002C4384"/>
    <w:rsid w:val="002C5008"/>
    <w:rsid w:val="002C68ED"/>
    <w:rsid w:val="002C6B5B"/>
    <w:rsid w:val="002C794F"/>
    <w:rsid w:val="002D25D0"/>
    <w:rsid w:val="002D26E6"/>
    <w:rsid w:val="002D3B4A"/>
    <w:rsid w:val="002D758B"/>
    <w:rsid w:val="002E236B"/>
    <w:rsid w:val="002E33C3"/>
    <w:rsid w:val="002E468C"/>
    <w:rsid w:val="002E6495"/>
    <w:rsid w:val="002F10D0"/>
    <w:rsid w:val="002F4DCA"/>
    <w:rsid w:val="00300092"/>
    <w:rsid w:val="00301293"/>
    <w:rsid w:val="00301879"/>
    <w:rsid w:val="00303299"/>
    <w:rsid w:val="003039A0"/>
    <w:rsid w:val="00304CF4"/>
    <w:rsid w:val="00305C96"/>
    <w:rsid w:val="0030648F"/>
    <w:rsid w:val="00306910"/>
    <w:rsid w:val="00307318"/>
    <w:rsid w:val="00311D15"/>
    <w:rsid w:val="00313DA0"/>
    <w:rsid w:val="00315698"/>
    <w:rsid w:val="00316550"/>
    <w:rsid w:val="0031792C"/>
    <w:rsid w:val="003179BB"/>
    <w:rsid w:val="00317C93"/>
    <w:rsid w:val="00322A95"/>
    <w:rsid w:val="00323431"/>
    <w:rsid w:val="003257DE"/>
    <w:rsid w:val="003259F5"/>
    <w:rsid w:val="003326D7"/>
    <w:rsid w:val="00332EA5"/>
    <w:rsid w:val="00334A3C"/>
    <w:rsid w:val="00334DDD"/>
    <w:rsid w:val="00334E54"/>
    <w:rsid w:val="00335860"/>
    <w:rsid w:val="00335D7C"/>
    <w:rsid w:val="003362D0"/>
    <w:rsid w:val="00336D0A"/>
    <w:rsid w:val="00337203"/>
    <w:rsid w:val="00337E34"/>
    <w:rsid w:val="00340334"/>
    <w:rsid w:val="0034041C"/>
    <w:rsid w:val="00341510"/>
    <w:rsid w:val="00341E01"/>
    <w:rsid w:val="00345EC5"/>
    <w:rsid w:val="00346C77"/>
    <w:rsid w:val="00346CBE"/>
    <w:rsid w:val="00350185"/>
    <w:rsid w:val="00350987"/>
    <w:rsid w:val="00351F79"/>
    <w:rsid w:val="00355114"/>
    <w:rsid w:val="00356072"/>
    <w:rsid w:val="003573F2"/>
    <w:rsid w:val="00360E08"/>
    <w:rsid w:val="00360FBE"/>
    <w:rsid w:val="003633BC"/>
    <w:rsid w:val="00363521"/>
    <w:rsid w:val="00364895"/>
    <w:rsid w:val="00366885"/>
    <w:rsid w:val="0037254C"/>
    <w:rsid w:val="003726FD"/>
    <w:rsid w:val="00373056"/>
    <w:rsid w:val="00374155"/>
    <w:rsid w:val="00374E05"/>
    <w:rsid w:val="00384294"/>
    <w:rsid w:val="00392EFE"/>
    <w:rsid w:val="00393736"/>
    <w:rsid w:val="003939B1"/>
    <w:rsid w:val="0039423B"/>
    <w:rsid w:val="003944BB"/>
    <w:rsid w:val="00395108"/>
    <w:rsid w:val="0039588F"/>
    <w:rsid w:val="003972B5"/>
    <w:rsid w:val="003A0166"/>
    <w:rsid w:val="003A0962"/>
    <w:rsid w:val="003A1437"/>
    <w:rsid w:val="003A6036"/>
    <w:rsid w:val="003A7898"/>
    <w:rsid w:val="003B14D0"/>
    <w:rsid w:val="003B19AE"/>
    <w:rsid w:val="003B28BC"/>
    <w:rsid w:val="003B2F67"/>
    <w:rsid w:val="003B3171"/>
    <w:rsid w:val="003B48F5"/>
    <w:rsid w:val="003B5133"/>
    <w:rsid w:val="003B6142"/>
    <w:rsid w:val="003B618F"/>
    <w:rsid w:val="003B6C2D"/>
    <w:rsid w:val="003B6C80"/>
    <w:rsid w:val="003B7514"/>
    <w:rsid w:val="003C1D9D"/>
    <w:rsid w:val="003C4070"/>
    <w:rsid w:val="003C41C7"/>
    <w:rsid w:val="003C4B53"/>
    <w:rsid w:val="003C4BC5"/>
    <w:rsid w:val="003C579E"/>
    <w:rsid w:val="003C5E75"/>
    <w:rsid w:val="003C6D01"/>
    <w:rsid w:val="003D1728"/>
    <w:rsid w:val="003D326A"/>
    <w:rsid w:val="003D43FA"/>
    <w:rsid w:val="003D76F9"/>
    <w:rsid w:val="003D78E9"/>
    <w:rsid w:val="003D7F3D"/>
    <w:rsid w:val="003D7FDD"/>
    <w:rsid w:val="003E14C2"/>
    <w:rsid w:val="003E3D23"/>
    <w:rsid w:val="003E43D7"/>
    <w:rsid w:val="003E4BC6"/>
    <w:rsid w:val="003E74EB"/>
    <w:rsid w:val="003E7B08"/>
    <w:rsid w:val="003E7C74"/>
    <w:rsid w:val="003F103C"/>
    <w:rsid w:val="003F13F8"/>
    <w:rsid w:val="003F1594"/>
    <w:rsid w:val="003F1878"/>
    <w:rsid w:val="003F1F08"/>
    <w:rsid w:val="003F27AE"/>
    <w:rsid w:val="003F2AA0"/>
    <w:rsid w:val="003F43FB"/>
    <w:rsid w:val="003F44E1"/>
    <w:rsid w:val="003F4EC2"/>
    <w:rsid w:val="003F52D3"/>
    <w:rsid w:val="003F54BA"/>
    <w:rsid w:val="003F649D"/>
    <w:rsid w:val="003F70F7"/>
    <w:rsid w:val="0040023C"/>
    <w:rsid w:val="004005B0"/>
    <w:rsid w:val="004012FB"/>
    <w:rsid w:val="00402B9B"/>
    <w:rsid w:val="00403844"/>
    <w:rsid w:val="00404EEE"/>
    <w:rsid w:val="00405E14"/>
    <w:rsid w:val="004100A0"/>
    <w:rsid w:val="00411216"/>
    <w:rsid w:val="0041380C"/>
    <w:rsid w:val="004145A2"/>
    <w:rsid w:val="004149AB"/>
    <w:rsid w:val="00415E99"/>
    <w:rsid w:val="0041644D"/>
    <w:rsid w:val="00416B6C"/>
    <w:rsid w:val="00416DCA"/>
    <w:rsid w:val="00416DF5"/>
    <w:rsid w:val="004176AD"/>
    <w:rsid w:val="004211EF"/>
    <w:rsid w:val="00422A20"/>
    <w:rsid w:val="00423CBE"/>
    <w:rsid w:val="00423F35"/>
    <w:rsid w:val="004244A1"/>
    <w:rsid w:val="004244C3"/>
    <w:rsid w:val="00425D49"/>
    <w:rsid w:val="00430796"/>
    <w:rsid w:val="004325A0"/>
    <w:rsid w:val="00432B83"/>
    <w:rsid w:val="00434405"/>
    <w:rsid w:val="0043578A"/>
    <w:rsid w:val="00436B55"/>
    <w:rsid w:val="00436C47"/>
    <w:rsid w:val="00436F15"/>
    <w:rsid w:val="00437182"/>
    <w:rsid w:val="00437F54"/>
    <w:rsid w:val="0044049C"/>
    <w:rsid w:val="004424C0"/>
    <w:rsid w:val="00443B2D"/>
    <w:rsid w:val="00443C33"/>
    <w:rsid w:val="004443C7"/>
    <w:rsid w:val="0044540D"/>
    <w:rsid w:val="004474AA"/>
    <w:rsid w:val="00451318"/>
    <w:rsid w:val="004523D0"/>
    <w:rsid w:val="00454319"/>
    <w:rsid w:val="00461AB6"/>
    <w:rsid w:val="00461F48"/>
    <w:rsid w:val="00462B43"/>
    <w:rsid w:val="00467645"/>
    <w:rsid w:val="0047067A"/>
    <w:rsid w:val="00470CE5"/>
    <w:rsid w:val="00472CE0"/>
    <w:rsid w:val="00473E14"/>
    <w:rsid w:val="00476747"/>
    <w:rsid w:val="004770A0"/>
    <w:rsid w:val="004800D0"/>
    <w:rsid w:val="00481241"/>
    <w:rsid w:val="0048300A"/>
    <w:rsid w:val="0048612A"/>
    <w:rsid w:val="00490C09"/>
    <w:rsid w:val="004912BA"/>
    <w:rsid w:val="00491741"/>
    <w:rsid w:val="004918E8"/>
    <w:rsid w:val="00492282"/>
    <w:rsid w:val="0049288F"/>
    <w:rsid w:val="00492D46"/>
    <w:rsid w:val="004935F6"/>
    <w:rsid w:val="004957C3"/>
    <w:rsid w:val="00495AE3"/>
    <w:rsid w:val="00497CC6"/>
    <w:rsid w:val="00497F79"/>
    <w:rsid w:val="004A101A"/>
    <w:rsid w:val="004A144D"/>
    <w:rsid w:val="004A2062"/>
    <w:rsid w:val="004A211D"/>
    <w:rsid w:val="004A31EF"/>
    <w:rsid w:val="004A55A6"/>
    <w:rsid w:val="004A5986"/>
    <w:rsid w:val="004A6127"/>
    <w:rsid w:val="004A6638"/>
    <w:rsid w:val="004A6AAC"/>
    <w:rsid w:val="004A7B56"/>
    <w:rsid w:val="004B623C"/>
    <w:rsid w:val="004B741F"/>
    <w:rsid w:val="004C24B7"/>
    <w:rsid w:val="004C2C75"/>
    <w:rsid w:val="004C4659"/>
    <w:rsid w:val="004C4F3C"/>
    <w:rsid w:val="004C6003"/>
    <w:rsid w:val="004C6024"/>
    <w:rsid w:val="004D0E96"/>
    <w:rsid w:val="004D39BC"/>
    <w:rsid w:val="004D4F9F"/>
    <w:rsid w:val="004D5586"/>
    <w:rsid w:val="004E10D0"/>
    <w:rsid w:val="004E125C"/>
    <w:rsid w:val="004E13BA"/>
    <w:rsid w:val="004E1C6D"/>
    <w:rsid w:val="004E31BA"/>
    <w:rsid w:val="004E32F2"/>
    <w:rsid w:val="004E45FE"/>
    <w:rsid w:val="004E75BE"/>
    <w:rsid w:val="004F1B94"/>
    <w:rsid w:val="004F2097"/>
    <w:rsid w:val="004F46BB"/>
    <w:rsid w:val="004F4B51"/>
    <w:rsid w:val="00501EAD"/>
    <w:rsid w:val="00502526"/>
    <w:rsid w:val="00503AB0"/>
    <w:rsid w:val="00503FD2"/>
    <w:rsid w:val="00510152"/>
    <w:rsid w:val="005127DD"/>
    <w:rsid w:val="00513635"/>
    <w:rsid w:val="005204B6"/>
    <w:rsid w:val="0052093B"/>
    <w:rsid w:val="00522AAE"/>
    <w:rsid w:val="0052419F"/>
    <w:rsid w:val="00524381"/>
    <w:rsid w:val="00524B15"/>
    <w:rsid w:val="005262C4"/>
    <w:rsid w:val="00533650"/>
    <w:rsid w:val="005338F1"/>
    <w:rsid w:val="00534AD1"/>
    <w:rsid w:val="0053618F"/>
    <w:rsid w:val="005372E7"/>
    <w:rsid w:val="0054010B"/>
    <w:rsid w:val="0054182C"/>
    <w:rsid w:val="005429E3"/>
    <w:rsid w:val="0054349C"/>
    <w:rsid w:val="00545649"/>
    <w:rsid w:val="005459D2"/>
    <w:rsid w:val="00550D22"/>
    <w:rsid w:val="00551257"/>
    <w:rsid w:val="00552D52"/>
    <w:rsid w:val="0055310B"/>
    <w:rsid w:val="005532EF"/>
    <w:rsid w:val="00555491"/>
    <w:rsid w:val="00555962"/>
    <w:rsid w:val="00556BC0"/>
    <w:rsid w:val="00557210"/>
    <w:rsid w:val="00557262"/>
    <w:rsid w:val="0056023B"/>
    <w:rsid w:val="00560C19"/>
    <w:rsid w:val="005634B5"/>
    <w:rsid w:val="00563AED"/>
    <w:rsid w:val="0057053F"/>
    <w:rsid w:val="00570B5D"/>
    <w:rsid w:val="00572D9F"/>
    <w:rsid w:val="0057396E"/>
    <w:rsid w:val="0057482D"/>
    <w:rsid w:val="00575C53"/>
    <w:rsid w:val="00577886"/>
    <w:rsid w:val="00577E9C"/>
    <w:rsid w:val="00581492"/>
    <w:rsid w:val="00582A89"/>
    <w:rsid w:val="0058499C"/>
    <w:rsid w:val="00585E0A"/>
    <w:rsid w:val="00586C83"/>
    <w:rsid w:val="00587DD4"/>
    <w:rsid w:val="00592EA6"/>
    <w:rsid w:val="00593156"/>
    <w:rsid w:val="00593892"/>
    <w:rsid w:val="00593C67"/>
    <w:rsid w:val="00594E1C"/>
    <w:rsid w:val="005958AA"/>
    <w:rsid w:val="00595961"/>
    <w:rsid w:val="00595B31"/>
    <w:rsid w:val="0059693E"/>
    <w:rsid w:val="005A1C9C"/>
    <w:rsid w:val="005A29CF"/>
    <w:rsid w:val="005A2F4E"/>
    <w:rsid w:val="005A34AD"/>
    <w:rsid w:val="005A47D7"/>
    <w:rsid w:val="005A4927"/>
    <w:rsid w:val="005A497F"/>
    <w:rsid w:val="005A49E1"/>
    <w:rsid w:val="005A53EE"/>
    <w:rsid w:val="005A5E9F"/>
    <w:rsid w:val="005A69A9"/>
    <w:rsid w:val="005A7F82"/>
    <w:rsid w:val="005B0EDA"/>
    <w:rsid w:val="005B15E5"/>
    <w:rsid w:val="005B40BB"/>
    <w:rsid w:val="005B4A03"/>
    <w:rsid w:val="005B550D"/>
    <w:rsid w:val="005B617A"/>
    <w:rsid w:val="005C14A5"/>
    <w:rsid w:val="005C421D"/>
    <w:rsid w:val="005C5463"/>
    <w:rsid w:val="005C5D1F"/>
    <w:rsid w:val="005C6345"/>
    <w:rsid w:val="005C74F1"/>
    <w:rsid w:val="005D0D95"/>
    <w:rsid w:val="005D11EA"/>
    <w:rsid w:val="005D185E"/>
    <w:rsid w:val="005D2431"/>
    <w:rsid w:val="005D3699"/>
    <w:rsid w:val="005D3803"/>
    <w:rsid w:val="005D3AFC"/>
    <w:rsid w:val="005D3BEF"/>
    <w:rsid w:val="005D3D34"/>
    <w:rsid w:val="005E06FB"/>
    <w:rsid w:val="005E1680"/>
    <w:rsid w:val="005E4459"/>
    <w:rsid w:val="005E4D30"/>
    <w:rsid w:val="005E5CCC"/>
    <w:rsid w:val="005E6DD7"/>
    <w:rsid w:val="005F0571"/>
    <w:rsid w:val="005F0CBD"/>
    <w:rsid w:val="005F15E2"/>
    <w:rsid w:val="005F40E4"/>
    <w:rsid w:val="005F6EA8"/>
    <w:rsid w:val="005F74E1"/>
    <w:rsid w:val="00601291"/>
    <w:rsid w:val="0060269A"/>
    <w:rsid w:val="0060315F"/>
    <w:rsid w:val="006050C2"/>
    <w:rsid w:val="006062BA"/>
    <w:rsid w:val="00606BAD"/>
    <w:rsid w:val="00612225"/>
    <w:rsid w:val="006151E0"/>
    <w:rsid w:val="006172D4"/>
    <w:rsid w:val="0062061D"/>
    <w:rsid w:val="00621983"/>
    <w:rsid w:val="00623558"/>
    <w:rsid w:val="00624F44"/>
    <w:rsid w:val="00625862"/>
    <w:rsid w:val="00626D79"/>
    <w:rsid w:val="006272B4"/>
    <w:rsid w:val="0063303C"/>
    <w:rsid w:val="006332EF"/>
    <w:rsid w:val="00633F1F"/>
    <w:rsid w:val="00634AEA"/>
    <w:rsid w:val="00635594"/>
    <w:rsid w:val="0063589C"/>
    <w:rsid w:val="006373EC"/>
    <w:rsid w:val="00637644"/>
    <w:rsid w:val="00637FCF"/>
    <w:rsid w:val="00641285"/>
    <w:rsid w:val="00641AE2"/>
    <w:rsid w:val="006424C0"/>
    <w:rsid w:val="006450D3"/>
    <w:rsid w:val="0064656C"/>
    <w:rsid w:val="00650B68"/>
    <w:rsid w:val="006517FF"/>
    <w:rsid w:val="006534CB"/>
    <w:rsid w:val="00660CC0"/>
    <w:rsid w:val="006614DC"/>
    <w:rsid w:val="0066277C"/>
    <w:rsid w:val="006627FE"/>
    <w:rsid w:val="00662EC5"/>
    <w:rsid w:val="00663294"/>
    <w:rsid w:val="006645DB"/>
    <w:rsid w:val="0066583D"/>
    <w:rsid w:val="00671E00"/>
    <w:rsid w:val="00673218"/>
    <w:rsid w:val="006741F8"/>
    <w:rsid w:val="00674F1D"/>
    <w:rsid w:val="00675589"/>
    <w:rsid w:val="00680F61"/>
    <w:rsid w:val="006827EA"/>
    <w:rsid w:val="00682C63"/>
    <w:rsid w:val="006833C7"/>
    <w:rsid w:val="00684A0C"/>
    <w:rsid w:val="00684F08"/>
    <w:rsid w:val="00690A9D"/>
    <w:rsid w:val="0069319B"/>
    <w:rsid w:val="00693DB5"/>
    <w:rsid w:val="0069602B"/>
    <w:rsid w:val="00696088"/>
    <w:rsid w:val="006962E1"/>
    <w:rsid w:val="006A23AC"/>
    <w:rsid w:val="006A2DC3"/>
    <w:rsid w:val="006A3479"/>
    <w:rsid w:val="006A3AF8"/>
    <w:rsid w:val="006A50C9"/>
    <w:rsid w:val="006A5E0D"/>
    <w:rsid w:val="006A5FD9"/>
    <w:rsid w:val="006A60D5"/>
    <w:rsid w:val="006B14C0"/>
    <w:rsid w:val="006B69B5"/>
    <w:rsid w:val="006B6C82"/>
    <w:rsid w:val="006B7E50"/>
    <w:rsid w:val="006C0398"/>
    <w:rsid w:val="006C190A"/>
    <w:rsid w:val="006C2065"/>
    <w:rsid w:val="006C4D31"/>
    <w:rsid w:val="006C4D9F"/>
    <w:rsid w:val="006C50FC"/>
    <w:rsid w:val="006C5AC4"/>
    <w:rsid w:val="006C6056"/>
    <w:rsid w:val="006C7EF8"/>
    <w:rsid w:val="006C7FEA"/>
    <w:rsid w:val="006D2A65"/>
    <w:rsid w:val="006D2D5E"/>
    <w:rsid w:val="006D46D8"/>
    <w:rsid w:val="006D6020"/>
    <w:rsid w:val="006D60DF"/>
    <w:rsid w:val="006D611F"/>
    <w:rsid w:val="006E3A3B"/>
    <w:rsid w:val="006E5207"/>
    <w:rsid w:val="006E5D5B"/>
    <w:rsid w:val="006F0139"/>
    <w:rsid w:val="006F0989"/>
    <w:rsid w:val="006F10C6"/>
    <w:rsid w:val="006F1D58"/>
    <w:rsid w:val="006F3DAF"/>
    <w:rsid w:val="006F4694"/>
    <w:rsid w:val="006F477A"/>
    <w:rsid w:val="006F4B47"/>
    <w:rsid w:val="006F5478"/>
    <w:rsid w:val="006F597E"/>
    <w:rsid w:val="006F59C0"/>
    <w:rsid w:val="006F612F"/>
    <w:rsid w:val="007009E0"/>
    <w:rsid w:val="00700B50"/>
    <w:rsid w:val="00700F52"/>
    <w:rsid w:val="007010BE"/>
    <w:rsid w:val="00702300"/>
    <w:rsid w:val="00706B13"/>
    <w:rsid w:val="00707B2A"/>
    <w:rsid w:val="0071237D"/>
    <w:rsid w:val="00712DFA"/>
    <w:rsid w:val="00720BD3"/>
    <w:rsid w:val="007260D1"/>
    <w:rsid w:val="00726BF3"/>
    <w:rsid w:val="00731E57"/>
    <w:rsid w:val="00736DF7"/>
    <w:rsid w:val="00737275"/>
    <w:rsid w:val="007374A4"/>
    <w:rsid w:val="00737553"/>
    <w:rsid w:val="007379A3"/>
    <w:rsid w:val="00745584"/>
    <w:rsid w:val="00745DAA"/>
    <w:rsid w:val="0074681B"/>
    <w:rsid w:val="0074785B"/>
    <w:rsid w:val="007507CA"/>
    <w:rsid w:val="00751BE3"/>
    <w:rsid w:val="00753D1C"/>
    <w:rsid w:val="00754683"/>
    <w:rsid w:val="00755582"/>
    <w:rsid w:val="00756399"/>
    <w:rsid w:val="007577AF"/>
    <w:rsid w:val="007611E6"/>
    <w:rsid w:val="00763000"/>
    <w:rsid w:val="0076337A"/>
    <w:rsid w:val="00765422"/>
    <w:rsid w:val="0076557F"/>
    <w:rsid w:val="00765830"/>
    <w:rsid w:val="00766565"/>
    <w:rsid w:val="00767B03"/>
    <w:rsid w:val="007716E6"/>
    <w:rsid w:val="00776B28"/>
    <w:rsid w:val="0078160E"/>
    <w:rsid w:val="0078425A"/>
    <w:rsid w:val="00785801"/>
    <w:rsid w:val="00790A77"/>
    <w:rsid w:val="00793328"/>
    <w:rsid w:val="007933ED"/>
    <w:rsid w:val="00795403"/>
    <w:rsid w:val="00795DBA"/>
    <w:rsid w:val="00796258"/>
    <w:rsid w:val="007962DC"/>
    <w:rsid w:val="00796DA4"/>
    <w:rsid w:val="00797CB6"/>
    <w:rsid w:val="007A0EDD"/>
    <w:rsid w:val="007A1560"/>
    <w:rsid w:val="007A167B"/>
    <w:rsid w:val="007A1E87"/>
    <w:rsid w:val="007A4739"/>
    <w:rsid w:val="007A66C8"/>
    <w:rsid w:val="007A71A5"/>
    <w:rsid w:val="007A78B9"/>
    <w:rsid w:val="007B03BC"/>
    <w:rsid w:val="007B0B93"/>
    <w:rsid w:val="007B0BFD"/>
    <w:rsid w:val="007B3CFE"/>
    <w:rsid w:val="007B3DCA"/>
    <w:rsid w:val="007B4BA7"/>
    <w:rsid w:val="007B55CE"/>
    <w:rsid w:val="007B5DF1"/>
    <w:rsid w:val="007B6EBC"/>
    <w:rsid w:val="007B7BB9"/>
    <w:rsid w:val="007C159E"/>
    <w:rsid w:val="007C16E9"/>
    <w:rsid w:val="007C2847"/>
    <w:rsid w:val="007C3A8D"/>
    <w:rsid w:val="007C6259"/>
    <w:rsid w:val="007C6B82"/>
    <w:rsid w:val="007C762F"/>
    <w:rsid w:val="007D1E15"/>
    <w:rsid w:val="007D20BC"/>
    <w:rsid w:val="007D4019"/>
    <w:rsid w:val="007D46E3"/>
    <w:rsid w:val="007D6B7C"/>
    <w:rsid w:val="007D7B5B"/>
    <w:rsid w:val="007E051F"/>
    <w:rsid w:val="007E1334"/>
    <w:rsid w:val="007E2DAA"/>
    <w:rsid w:val="007E37F1"/>
    <w:rsid w:val="007E5A35"/>
    <w:rsid w:val="007E5ABD"/>
    <w:rsid w:val="007E5E1A"/>
    <w:rsid w:val="007F15A8"/>
    <w:rsid w:val="007F47E8"/>
    <w:rsid w:val="007F541E"/>
    <w:rsid w:val="007F5BE8"/>
    <w:rsid w:val="007F72ED"/>
    <w:rsid w:val="00800A6A"/>
    <w:rsid w:val="0080132E"/>
    <w:rsid w:val="00801CF8"/>
    <w:rsid w:val="00802350"/>
    <w:rsid w:val="008064A7"/>
    <w:rsid w:val="0081046C"/>
    <w:rsid w:val="00811D41"/>
    <w:rsid w:val="00820ED6"/>
    <w:rsid w:val="008217F4"/>
    <w:rsid w:val="0082395D"/>
    <w:rsid w:val="008256F0"/>
    <w:rsid w:val="008321E4"/>
    <w:rsid w:val="0083530B"/>
    <w:rsid w:val="00836373"/>
    <w:rsid w:val="00836744"/>
    <w:rsid w:val="008379CE"/>
    <w:rsid w:val="008403DB"/>
    <w:rsid w:val="008409D7"/>
    <w:rsid w:val="00840B5B"/>
    <w:rsid w:val="00841B09"/>
    <w:rsid w:val="00841CF4"/>
    <w:rsid w:val="008453FB"/>
    <w:rsid w:val="00845686"/>
    <w:rsid w:val="00845F32"/>
    <w:rsid w:val="00847417"/>
    <w:rsid w:val="00853071"/>
    <w:rsid w:val="0085390A"/>
    <w:rsid w:val="008563F7"/>
    <w:rsid w:val="0085672D"/>
    <w:rsid w:val="00856B8D"/>
    <w:rsid w:val="00856E57"/>
    <w:rsid w:val="00857422"/>
    <w:rsid w:val="008574CC"/>
    <w:rsid w:val="008579FC"/>
    <w:rsid w:val="008614EC"/>
    <w:rsid w:val="008630F8"/>
    <w:rsid w:val="008635F7"/>
    <w:rsid w:val="00863903"/>
    <w:rsid w:val="0086595F"/>
    <w:rsid w:val="00865B31"/>
    <w:rsid w:val="00867632"/>
    <w:rsid w:val="0087033D"/>
    <w:rsid w:val="00872DB9"/>
    <w:rsid w:val="00874F89"/>
    <w:rsid w:val="00875603"/>
    <w:rsid w:val="008777F6"/>
    <w:rsid w:val="008778D6"/>
    <w:rsid w:val="00880C95"/>
    <w:rsid w:val="00882176"/>
    <w:rsid w:val="0088241E"/>
    <w:rsid w:val="00883074"/>
    <w:rsid w:val="00883839"/>
    <w:rsid w:val="00883A5F"/>
    <w:rsid w:val="00883DCD"/>
    <w:rsid w:val="0088563B"/>
    <w:rsid w:val="008856B1"/>
    <w:rsid w:val="008859B3"/>
    <w:rsid w:val="00887101"/>
    <w:rsid w:val="00887D08"/>
    <w:rsid w:val="00891911"/>
    <w:rsid w:val="00891A3D"/>
    <w:rsid w:val="00893814"/>
    <w:rsid w:val="0089547C"/>
    <w:rsid w:val="00896B30"/>
    <w:rsid w:val="008970BD"/>
    <w:rsid w:val="0089716F"/>
    <w:rsid w:val="008A0469"/>
    <w:rsid w:val="008A1038"/>
    <w:rsid w:val="008A1231"/>
    <w:rsid w:val="008A13AC"/>
    <w:rsid w:val="008A1B25"/>
    <w:rsid w:val="008A5631"/>
    <w:rsid w:val="008A66A2"/>
    <w:rsid w:val="008A683A"/>
    <w:rsid w:val="008A6B4F"/>
    <w:rsid w:val="008A704A"/>
    <w:rsid w:val="008B0934"/>
    <w:rsid w:val="008B16FC"/>
    <w:rsid w:val="008B2CCF"/>
    <w:rsid w:val="008B5420"/>
    <w:rsid w:val="008C026B"/>
    <w:rsid w:val="008C0FCE"/>
    <w:rsid w:val="008C2F84"/>
    <w:rsid w:val="008C5153"/>
    <w:rsid w:val="008C5DFB"/>
    <w:rsid w:val="008C6663"/>
    <w:rsid w:val="008D00FF"/>
    <w:rsid w:val="008D0629"/>
    <w:rsid w:val="008D166D"/>
    <w:rsid w:val="008D27A4"/>
    <w:rsid w:val="008D2F3D"/>
    <w:rsid w:val="008D35E7"/>
    <w:rsid w:val="008D391F"/>
    <w:rsid w:val="008D5F53"/>
    <w:rsid w:val="008D791C"/>
    <w:rsid w:val="008E1B53"/>
    <w:rsid w:val="008E1F61"/>
    <w:rsid w:val="008E2E0C"/>
    <w:rsid w:val="008E33B1"/>
    <w:rsid w:val="008E4007"/>
    <w:rsid w:val="008E56B1"/>
    <w:rsid w:val="008E73B3"/>
    <w:rsid w:val="008F1306"/>
    <w:rsid w:val="008F1670"/>
    <w:rsid w:val="008F5C53"/>
    <w:rsid w:val="008F6C19"/>
    <w:rsid w:val="009000CE"/>
    <w:rsid w:val="0090040A"/>
    <w:rsid w:val="00901037"/>
    <w:rsid w:val="0090267B"/>
    <w:rsid w:val="00903088"/>
    <w:rsid w:val="00903B21"/>
    <w:rsid w:val="00904C3A"/>
    <w:rsid w:val="009050F8"/>
    <w:rsid w:val="00905DBF"/>
    <w:rsid w:val="00907574"/>
    <w:rsid w:val="00910AC7"/>
    <w:rsid w:val="009129F7"/>
    <w:rsid w:val="0091349C"/>
    <w:rsid w:val="00914308"/>
    <w:rsid w:val="00915C3C"/>
    <w:rsid w:val="00917474"/>
    <w:rsid w:val="0091750E"/>
    <w:rsid w:val="009178D6"/>
    <w:rsid w:val="0092569A"/>
    <w:rsid w:val="0092756E"/>
    <w:rsid w:val="009308C4"/>
    <w:rsid w:val="009308DF"/>
    <w:rsid w:val="009313A9"/>
    <w:rsid w:val="00931707"/>
    <w:rsid w:val="0093343F"/>
    <w:rsid w:val="00933F04"/>
    <w:rsid w:val="00934B10"/>
    <w:rsid w:val="009352D2"/>
    <w:rsid w:val="00935550"/>
    <w:rsid w:val="009359B5"/>
    <w:rsid w:val="009370AE"/>
    <w:rsid w:val="00937447"/>
    <w:rsid w:val="009378D2"/>
    <w:rsid w:val="00941FCC"/>
    <w:rsid w:val="00943267"/>
    <w:rsid w:val="00944D8E"/>
    <w:rsid w:val="009452D1"/>
    <w:rsid w:val="00946688"/>
    <w:rsid w:val="00946CCE"/>
    <w:rsid w:val="00950AB5"/>
    <w:rsid w:val="00951ADE"/>
    <w:rsid w:val="00951F91"/>
    <w:rsid w:val="00953334"/>
    <w:rsid w:val="00953B29"/>
    <w:rsid w:val="00953E5B"/>
    <w:rsid w:val="00953E8B"/>
    <w:rsid w:val="00954628"/>
    <w:rsid w:val="00955018"/>
    <w:rsid w:val="00955C32"/>
    <w:rsid w:val="00955D83"/>
    <w:rsid w:val="0095706D"/>
    <w:rsid w:val="0096045F"/>
    <w:rsid w:val="00960FC9"/>
    <w:rsid w:val="00962CC4"/>
    <w:rsid w:val="00964FC8"/>
    <w:rsid w:val="009656ED"/>
    <w:rsid w:val="009657C7"/>
    <w:rsid w:val="00965A79"/>
    <w:rsid w:val="00966228"/>
    <w:rsid w:val="009666EF"/>
    <w:rsid w:val="00967FC8"/>
    <w:rsid w:val="00970611"/>
    <w:rsid w:val="0097330B"/>
    <w:rsid w:val="009741BB"/>
    <w:rsid w:val="00974E02"/>
    <w:rsid w:val="00975660"/>
    <w:rsid w:val="00975942"/>
    <w:rsid w:val="0098027B"/>
    <w:rsid w:val="00980725"/>
    <w:rsid w:val="00981DDA"/>
    <w:rsid w:val="00985391"/>
    <w:rsid w:val="0098752B"/>
    <w:rsid w:val="00987D20"/>
    <w:rsid w:val="0099043A"/>
    <w:rsid w:val="009914A1"/>
    <w:rsid w:val="00991C4B"/>
    <w:rsid w:val="00993058"/>
    <w:rsid w:val="009937EB"/>
    <w:rsid w:val="0099386E"/>
    <w:rsid w:val="009951CA"/>
    <w:rsid w:val="00995944"/>
    <w:rsid w:val="00995EE8"/>
    <w:rsid w:val="00995F1B"/>
    <w:rsid w:val="009964F2"/>
    <w:rsid w:val="00996666"/>
    <w:rsid w:val="00996E7E"/>
    <w:rsid w:val="009979B5"/>
    <w:rsid w:val="009A1736"/>
    <w:rsid w:val="009A3A32"/>
    <w:rsid w:val="009A40C8"/>
    <w:rsid w:val="009A454B"/>
    <w:rsid w:val="009A477B"/>
    <w:rsid w:val="009A5B90"/>
    <w:rsid w:val="009A7EF4"/>
    <w:rsid w:val="009B0750"/>
    <w:rsid w:val="009B1C9D"/>
    <w:rsid w:val="009B22DC"/>
    <w:rsid w:val="009B2AA6"/>
    <w:rsid w:val="009B2EA5"/>
    <w:rsid w:val="009B32D2"/>
    <w:rsid w:val="009B4333"/>
    <w:rsid w:val="009B4AB8"/>
    <w:rsid w:val="009B4DD3"/>
    <w:rsid w:val="009B50A5"/>
    <w:rsid w:val="009B6954"/>
    <w:rsid w:val="009C2815"/>
    <w:rsid w:val="009C36B4"/>
    <w:rsid w:val="009C47D0"/>
    <w:rsid w:val="009C540A"/>
    <w:rsid w:val="009C5F81"/>
    <w:rsid w:val="009C7BDA"/>
    <w:rsid w:val="009D16EF"/>
    <w:rsid w:val="009D187D"/>
    <w:rsid w:val="009D1B93"/>
    <w:rsid w:val="009D3B1F"/>
    <w:rsid w:val="009D464A"/>
    <w:rsid w:val="009E1070"/>
    <w:rsid w:val="009E1EF1"/>
    <w:rsid w:val="009E2B8B"/>
    <w:rsid w:val="009E2F56"/>
    <w:rsid w:val="009E36BA"/>
    <w:rsid w:val="009E5102"/>
    <w:rsid w:val="009E6223"/>
    <w:rsid w:val="009E7DA6"/>
    <w:rsid w:val="009F0161"/>
    <w:rsid w:val="009F20C4"/>
    <w:rsid w:val="009F285C"/>
    <w:rsid w:val="009F32DD"/>
    <w:rsid w:val="009F3846"/>
    <w:rsid w:val="009F4BFB"/>
    <w:rsid w:val="009F4F4D"/>
    <w:rsid w:val="00A00BC0"/>
    <w:rsid w:val="00A02B48"/>
    <w:rsid w:val="00A047CB"/>
    <w:rsid w:val="00A049B2"/>
    <w:rsid w:val="00A04C50"/>
    <w:rsid w:val="00A05F9F"/>
    <w:rsid w:val="00A07706"/>
    <w:rsid w:val="00A079CF"/>
    <w:rsid w:val="00A07CC9"/>
    <w:rsid w:val="00A10FAC"/>
    <w:rsid w:val="00A1190F"/>
    <w:rsid w:val="00A12649"/>
    <w:rsid w:val="00A12F44"/>
    <w:rsid w:val="00A13592"/>
    <w:rsid w:val="00A13BE3"/>
    <w:rsid w:val="00A140B8"/>
    <w:rsid w:val="00A15EF5"/>
    <w:rsid w:val="00A16075"/>
    <w:rsid w:val="00A200FE"/>
    <w:rsid w:val="00A25DD7"/>
    <w:rsid w:val="00A308D6"/>
    <w:rsid w:val="00A3143E"/>
    <w:rsid w:val="00A32CEF"/>
    <w:rsid w:val="00A35DAB"/>
    <w:rsid w:val="00A35E62"/>
    <w:rsid w:val="00A378C4"/>
    <w:rsid w:val="00A4021E"/>
    <w:rsid w:val="00A40C0A"/>
    <w:rsid w:val="00A438E0"/>
    <w:rsid w:val="00A43ED2"/>
    <w:rsid w:val="00A45D69"/>
    <w:rsid w:val="00A46D5E"/>
    <w:rsid w:val="00A47B22"/>
    <w:rsid w:val="00A501C9"/>
    <w:rsid w:val="00A50608"/>
    <w:rsid w:val="00A53048"/>
    <w:rsid w:val="00A53243"/>
    <w:rsid w:val="00A550D4"/>
    <w:rsid w:val="00A55C64"/>
    <w:rsid w:val="00A564D5"/>
    <w:rsid w:val="00A60CD7"/>
    <w:rsid w:val="00A610FD"/>
    <w:rsid w:val="00A612B1"/>
    <w:rsid w:val="00A622D1"/>
    <w:rsid w:val="00A62F8E"/>
    <w:rsid w:val="00A63B1A"/>
    <w:rsid w:val="00A63BC2"/>
    <w:rsid w:val="00A714C6"/>
    <w:rsid w:val="00A73D77"/>
    <w:rsid w:val="00A755AB"/>
    <w:rsid w:val="00A76E88"/>
    <w:rsid w:val="00A81ADE"/>
    <w:rsid w:val="00A81DED"/>
    <w:rsid w:val="00A82231"/>
    <w:rsid w:val="00A83534"/>
    <w:rsid w:val="00A85EB4"/>
    <w:rsid w:val="00A865F4"/>
    <w:rsid w:val="00A87CCE"/>
    <w:rsid w:val="00A90F96"/>
    <w:rsid w:val="00A9113B"/>
    <w:rsid w:val="00A911C6"/>
    <w:rsid w:val="00A9162D"/>
    <w:rsid w:val="00A91BC4"/>
    <w:rsid w:val="00A924C2"/>
    <w:rsid w:val="00A93744"/>
    <w:rsid w:val="00A93751"/>
    <w:rsid w:val="00A966F5"/>
    <w:rsid w:val="00A96D65"/>
    <w:rsid w:val="00A97A6D"/>
    <w:rsid w:val="00AA024F"/>
    <w:rsid w:val="00AA11BE"/>
    <w:rsid w:val="00AA4593"/>
    <w:rsid w:val="00AA55EE"/>
    <w:rsid w:val="00AA65F3"/>
    <w:rsid w:val="00AA743D"/>
    <w:rsid w:val="00AA79B9"/>
    <w:rsid w:val="00AB08F4"/>
    <w:rsid w:val="00AB22E2"/>
    <w:rsid w:val="00AB299D"/>
    <w:rsid w:val="00AB3C2F"/>
    <w:rsid w:val="00AB3FB0"/>
    <w:rsid w:val="00AB5C86"/>
    <w:rsid w:val="00AB6235"/>
    <w:rsid w:val="00AB6B82"/>
    <w:rsid w:val="00AB704C"/>
    <w:rsid w:val="00AC084F"/>
    <w:rsid w:val="00AC09F8"/>
    <w:rsid w:val="00AC0C29"/>
    <w:rsid w:val="00AC0D8E"/>
    <w:rsid w:val="00AC10BC"/>
    <w:rsid w:val="00AC1486"/>
    <w:rsid w:val="00AC1B35"/>
    <w:rsid w:val="00AC3E50"/>
    <w:rsid w:val="00AD07A8"/>
    <w:rsid w:val="00AD135F"/>
    <w:rsid w:val="00AD2B1A"/>
    <w:rsid w:val="00AD32AB"/>
    <w:rsid w:val="00AD3898"/>
    <w:rsid w:val="00AD4B49"/>
    <w:rsid w:val="00AD51E2"/>
    <w:rsid w:val="00AD7690"/>
    <w:rsid w:val="00AE072D"/>
    <w:rsid w:val="00AE07B9"/>
    <w:rsid w:val="00AE1D8B"/>
    <w:rsid w:val="00AE1E05"/>
    <w:rsid w:val="00AE4CB2"/>
    <w:rsid w:val="00AE6E5E"/>
    <w:rsid w:val="00AE7BF1"/>
    <w:rsid w:val="00AE7C8E"/>
    <w:rsid w:val="00AF17B1"/>
    <w:rsid w:val="00AF1C11"/>
    <w:rsid w:val="00AF2314"/>
    <w:rsid w:val="00AF28B7"/>
    <w:rsid w:val="00AF6992"/>
    <w:rsid w:val="00AF760D"/>
    <w:rsid w:val="00AF7CA9"/>
    <w:rsid w:val="00AF7D3A"/>
    <w:rsid w:val="00B045FD"/>
    <w:rsid w:val="00B0537D"/>
    <w:rsid w:val="00B12845"/>
    <w:rsid w:val="00B152D9"/>
    <w:rsid w:val="00B16529"/>
    <w:rsid w:val="00B21652"/>
    <w:rsid w:val="00B234E9"/>
    <w:rsid w:val="00B25CDC"/>
    <w:rsid w:val="00B27A4C"/>
    <w:rsid w:val="00B27ECB"/>
    <w:rsid w:val="00B30437"/>
    <w:rsid w:val="00B33EAC"/>
    <w:rsid w:val="00B401C4"/>
    <w:rsid w:val="00B42A11"/>
    <w:rsid w:val="00B432A8"/>
    <w:rsid w:val="00B442B7"/>
    <w:rsid w:val="00B51188"/>
    <w:rsid w:val="00B51A4A"/>
    <w:rsid w:val="00B522E7"/>
    <w:rsid w:val="00B5338C"/>
    <w:rsid w:val="00B54836"/>
    <w:rsid w:val="00B55568"/>
    <w:rsid w:val="00B56027"/>
    <w:rsid w:val="00B600FC"/>
    <w:rsid w:val="00B61A0C"/>
    <w:rsid w:val="00B6245A"/>
    <w:rsid w:val="00B62AEA"/>
    <w:rsid w:val="00B64A2F"/>
    <w:rsid w:val="00B65768"/>
    <w:rsid w:val="00B658FC"/>
    <w:rsid w:val="00B71EC7"/>
    <w:rsid w:val="00B723CE"/>
    <w:rsid w:val="00B72D2C"/>
    <w:rsid w:val="00B732DD"/>
    <w:rsid w:val="00B7589D"/>
    <w:rsid w:val="00B808EF"/>
    <w:rsid w:val="00B83A21"/>
    <w:rsid w:val="00B83EDD"/>
    <w:rsid w:val="00B86796"/>
    <w:rsid w:val="00B8770A"/>
    <w:rsid w:val="00B9018C"/>
    <w:rsid w:val="00B90421"/>
    <w:rsid w:val="00B90AAC"/>
    <w:rsid w:val="00B90D67"/>
    <w:rsid w:val="00B91CCE"/>
    <w:rsid w:val="00B92BE3"/>
    <w:rsid w:val="00B936B4"/>
    <w:rsid w:val="00B95728"/>
    <w:rsid w:val="00B9575C"/>
    <w:rsid w:val="00B96665"/>
    <w:rsid w:val="00B96768"/>
    <w:rsid w:val="00B97304"/>
    <w:rsid w:val="00BA09BB"/>
    <w:rsid w:val="00BA0F94"/>
    <w:rsid w:val="00BA1B17"/>
    <w:rsid w:val="00BA3743"/>
    <w:rsid w:val="00BA3EFD"/>
    <w:rsid w:val="00BA5738"/>
    <w:rsid w:val="00BB0D7F"/>
    <w:rsid w:val="00BB2C5F"/>
    <w:rsid w:val="00BB4D4E"/>
    <w:rsid w:val="00BB57BB"/>
    <w:rsid w:val="00BC048B"/>
    <w:rsid w:val="00BC2C19"/>
    <w:rsid w:val="00BC35D8"/>
    <w:rsid w:val="00BC4D70"/>
    <w:rsid w:val="00BC71DF"/>
    <w:rsid w:val="00BC7403"/>
    <w:rsid w:val="00BD0DB2"/>
    <w:rsid w:val="00BD31A6"/>
    <w:rsid w:val="00BD40FB"/>
    <w:rsid w:val="00BE0180"/>
    <w:rsid w:val="00BE0CC4"/>
    <w:rsid w:val="00BE2032"/>
    <w:rsid w:val="00BE4171"/>
    <w:rsid w:val="00BE61DE"/>
    <w:rsid w:val="00BE6A54"/>
    <w:rsid w:val="00BF3210"/>
    <w:rsid w:val="00BF5175"/>
    <w:rsid w:val="00BF6972"/>
    <w:rsid w:val="00BF6B63"/>
    <w:rsid w:val="00BF7BB0"/>
    <w:rsid w:val="00C0014C"/>
    <w:rsid w:val="00C00DFC"/>
    <w:rsid w:val="00C01517"/>
    <w:rsid w:val="00C021A3"/>
    <w:rsid w:val="00C039EC"/>
    <w:rsid w:val="00C03E53"/>
    <w:rsid w:val="00C052AC"/>
    <w:rsid w:val="00C06F14"/>
    <w:rsid w:val="00C108B4"/>
    <w:rsid w:val="00C10E17"/>
    <w:rsid w:val="00C167A9"/>
    <w:rsid w:val="00C2038B"/>
    <w:rsid w:val="00C20749"/>
    <w:rsid w:val="00C210E3"/>
    <w:rsid w:val="00C216A2"/>
    <w:rsid w:val="00C229B5"/>
    <w:rsid w:val="00C23768"/>
    <w:rsid w:val="00C24A07"/>
    <w:rsid w:val="00C25890"/>
    <w:rsid w:val="00C25BA5"/>
    <w:rsid w:val="00C27238"/>
    <w:rsid w:val="00C277AE"/>
    <w:rsid w:val="00C27D9E"/>
    <w:rsid w:val="00C3190A"/>
    <w:rsid w:val="00C31912"/>
    <w:rsid w:val="00C31D94"/>
    <w:rsid w:val="00C31F73"/>
    <w:rsid w:val="00C32ED1"/>
    <w:rsid w:val="00C34021"/>
    <w:rsid w:val="00C34565"/>
    <w:rsid w:val="00C34887"/>
    <w:rsid w:val="00C34EC4"/>
    <w:rsid w:val="00C36AFB"/>
    <w:rsid w:val="00C36D64"/>
    <w:rsid w:val="00C37BF1"/>
    <w:rsid w:val="00C4000B"/>
    <w:rsid w:val="00C407A6"/>
    <w:rsid w:val="00C41EB4"/>
    <w:rsid w:val="00C43A9B"/>
    <w:rsid w:val="00C4636B"/>
    <w:rsid w:val="00C46B9D"/>
    <w:rsid w:val="00C50E03"/>
    <w:rsid w:val="00C51241"/>
    <w:rsid w:val="00C5195B"/>
    <w:rsid w:val="00C5314F"/>
    <w:rsid w:val="00C53D46"/>
    <w:rsid w:val="00C55809"/>
    <w:rsid w:val="00C574EC"/>
    <w:rsid w:val="00C57DAD"/>
    <w:rsid w:val="00C60323"/>
    <w:rsid w:val="00C61104"/>
    <w:rsid w:val="00C628E0"/>
    <w:rsid w:val="00C63423"/>
    <w:rsid w:val="00C66ABC"/>
    <w:rsid w:val="00C66E5F"/>
    <w:rsid w:val="00C67313"/>
    <w:rsid w:val="00C72E6C"/>
    <w:rsid w:val="00C736DC"/>
    <w:rsid w:val="00C741F1"/>
    <w:rsid w:val="00C75040"/>
    <w:rsid w:val="00C76502"/>
    <w:rsid w:val="00C76D66"/>
    <w:rsid w:val="00C771CB"/>
    <w:rsid w:val="00C8134E"/>
    <w:rsid w:val="00C834EB"/>
    <w:rsid w:val="00C8393B"/>
    <w:rsid w:val="00C83CD9"/>
    <w:rsid w:val="00C84690"/>
    <w:rsid w:val="00C9055A"/>
    <w:rsid w:val="00C92177"/>
    <w:rsid w:val="00C93099"/>
    <w:rsid w:val="00C93310"/>
    <w:rsid w:val="00C9512D"/>
    <w:rsid w:val="00C96344"/>
    <w:rsid w:val="00C972F5"/>
    <w:rsid w:val="00CA1827"/>
    <w:rsid w:val="00CA1AAE"/>
    <w:rsid w:val="00CA1FEB"/>
    <w:rsid w:val="00CA2F6D"/>
    <w:rsid w:val="00CA3316"/>
    <w:rsid w:val="00CA36A9"/>
    <w:rsid w:val="00CA5EAA"/>
    <w:rsid w:val="00CA5F5B"/>
    <w:rsid w:val="00CB05F1"/>
    <w:rsid w:val="00CB0FB5"/>
    <w:rsid w:val="00CB2935"/>
    <w:rsid w:val="00CB2F75"/>
    <w:rsid w:val="00CB5546"/>
    <w:rsid w:val="00CB68F9"/>
    <w:rsid w:val="00CB6CDD"/>
    <w:rsid w:val="00CC091E"/>
    <w:rsid w:val="00CC1A3B"/>
    <w:rsid w:val="00CC3BD5"/>
    <w:rsid w:val="00CC57B2"/>
    <w:rsid w:val="00CC60FF"/>
    <w:rsid w:val="00CC658F"/>
    <w:rsid w:val="00CC7675"/>
    <w:rsid w:val="00CC7F01"/>
    <w:rsid w:val="00CD14B2"/>
    <w:rsid w:val="00CD328E"/>
    <w:rsid w:val="00CD3792"/>
    <w:rsid w:val="00CD4E4B"/>
    <w:rsid w:val="00CD72BF"/>
    <w:rsid w:val="00CE0647"/>
    <w:rsid w:val="00CE14E0"/>
    <w:rsid w:val="00CE38A5"/>
    <w:rsid w:val="00CE6B1B"/>
    <w:rsid w:val="00CE718A"/>
    <w:rsid w:val="00CF0062"/>
    <w:rsid w:val="00CF011C"/>
    <w:rsid w:val="00CF195D"/>
    <w:rsid w:val="00D02B60"/>
    <w:rsid w:val="00D0367A"/>
    <w:rsid w:val="00D0547D"/>
    <w:rsid w:val="00D0566D"/>
    <w:rsid w:val="00D05ED5"/>
    <w:rsid w:val="00D066E3"/>
    <w:rsid w:val="00D07AE7"/>
    <w:rsid w:val="00D12563"/>
    <w:rsid w:val="00D14A62"/>
    <w:rsid w:val="00D15079"/>
    <w:rsid w:val="00D15D49"/>
    <w:rsid w:val="00D15DE5"/>
    <w:rsid w:val="00D16D90"/>
    <w:rsid w:val="00D17724"/>
    <w:rsid w:val="00D25958"/>
    <w:rsid w:val="00D26A6E"/>
    <w:rsid w:val="00D26F7B"/>
    <w:rsid w:val="00D27463"/>
    <w:rsid w:val="00D27BD2"/>
    <w:rsid w:val="00D318E0"/>
    <w:rsid w:val="00D3240A"/>
    <w:rsid w:val="00D328F8"/>
    <w:rsid w:val="00D33983"/>
    <w:rsid w:val="00D3569D"/>
    <w:rsid w:val="00D3688A"/>
    <w:rsid w:val="00D400AD"/>
    <w:rsid w:val="00D400B1"/>
    <w:rsid w:val="00D40B85"/>
    <w:rsid w:val="00D417FC"/>
    <w:rsid w:val="00D4248A"/>
    <w:rsid w:val="00D42531"/>
    <w:rsid w:val="00D4489B"/>
    <w:rsid w:val="00D46FD9"/>
    <w:rsid w:val="00D4790E"/>
    <w:rsid w:val="00D5028A"/>
    <w:rsid w:val="00D523B7"/>
    <w:rsid w:val="00D538C9"/>
    <w:rsid w:val="00D54A94"/>
    <w:rsid w:val="00D559AA"/>
    <w:rsid w:val="00D563EA"/>
    <w:rsid w:val="00D56795"/>
    <w:rsid w:val="00D567D9"/>
    <w:rsid w:val="00D60BAB"/>
    <w:rsid w:val="00D61A79"/>
    <w:rsid w:val="00D639DF"/>
    <w:rsid w:val="00D6556C"/>
    <w:rsid w:val="00D67A25"/>
    <w:rsid w:val="00D67E3C"/>
    <w:rsid w:val="00D7095C"/>
    <w:rsid w:val="00D74EF2"/>
    <w:rsid w:val="00D75611"/>
    <w:rsid w:val="00D7578E"/>
    <w:rsid w:val="00D76128"/>
    <w:rsid w:val="00D803E0"/>
    <w:rsid w:val="00D8094C"/>
    <w:rsid w:val="00D80D1A"/>
    <w:rsid w:val="00D816B2"/>
    <w:rsid w:val="00D82297"/>
    <w:rsid w:val="00D82B38"/>
    <w:rsid w:val="00D82D08"/>
    <w:rsid w:val="00D84AEA"/>
    <w:rsid w:val="00D854AE"/>
    <w:rsid w:val="00D91785"/>
    <w:rsid w:val="00D91D56"/>
    <w:rsid w:val="00D9258E"/>
    <w:rsid w:val="00D939F7"/>
    <w:rsid w:val="00D94642"/>
    <w:rsid w:val="00DA07B4"/>
    <w:rsid w:val="00DA1049"/>
    <w:rsid w:val="00DA1231"/>
    <w:rsid w:val="00DA2101"/>
    <w:rsid w:val="00DA48ED"/>
    <w:rsid w:val="00DA5663"/>
    <w:rsid w:val="00DA69F1"/>
    <w:rsid w:val="00DA7302"/>
    <w:rsid w:val="00DB0AE7"/>
    <w:rsid w:val="00DB1C2E"/>
    <w:rsid w:val="00DB1C6D"/>
    <w:rsid w:val="00DB2365"/>
    <w:rsid w:val="00DB2BE6"/>
    <w:rsid w:val="00DB322D"/>
    <w:rsid w:val="00DB4D40"/>
    <w:rsid w:val="00DC0A4D"/>
    <w:rsid w:val="00DC1224"/>
    <w:rsid w:val="00DC1D26"/>
    <w:rsid w:val="00DC25AC"/>
    <w:rsid w:val="00DC4F4D"/>
    <w:rsid w:val="00DC7D53"/>
    <w:rsid w:val="00DD0E4F"/>
    <w:rsid w:val="00DD1A89"/>
    <w:rsid w:val="00DD2BB0"/>
    <w:rsid w:val="00DD7F3D"/>
    <w:rsid w:val="00DE0680"/>
    <w:rsid w:val="00DE0857"/>
    <w:rsid w:val="00DE0E22"/>
    <w:rsid w:val="00DE2170"/>
    <w:rsid w:val="00DE34CA"/>
    <w:rsid w:val="00DE4241"/>
    <w:rsid w:val="00DE4AAB"/>
    <w:rsid w:val="00DE607A"/>
    <w:rsid w:val="00DE61B5"/>
    <w:rsid w:val="00DE635B"/>
    <w:rsid w:val="00DE672B"/>
    <w:rsid w:val="00DF0693"/>
    <w:rsid w:val="00DF121B"/>
    <w:rsid w:val="00DF320B"/>
    <w:rsid w:val="00DF3249"/>
    <w:rsid w:val="00DF3D11"/>
    <w:rsid w:val="00DF5368"/>
    <w:rsid w:val="00DF782A"/>
    <w:rsid w:val="00E01C11"/>
    <w:rsid w:val="00E0342F"/>
    <w:rsid w:val="00E035C0"/>
    <w:rsid w:val="00E03EC8"/>
    <w:rsid w:val="00E05CC8"/>
    <w:rsid w:val="00E05E1E"/>
    <w:rsid w:val="00E07744"/>
    <w:rsid w:val="00E07CA2"/>
    <w:rsid w:val="00E10C26"/>
    <w:rsid w:val="00E11735"/>
    <w:rsid w:val="00E12B35"/>
    <w:rsid w:val="00E13A05"/>
    <w:rsid w:val="00E13D46"/>
    <w:rsid w:val="00E13E41"/>
    <w:rsid w:val="00E13E77"/>
    <w:rsid w:val="00E148B1"/>
    <w:rsid w:val="00E16AC8"/>
    <w:rsid w:val="00E20386"/>
    <w:rsid w:val="00E20D93"/>
    <w:rsid w:val="00E23070"/>
    <w:rsid w:val="00E23AEE"/>
    <w:rsid w:val="00E23F38"/>
    <w:rsid w:val="00E2453E"/>
    <w:rsid w:val="00E24951"/>
    <w:rsid w:val="00E252AD"/>
    <w:rsid w:val="00E25FC7"/>
    <w:rsid w:val="00E262BB"/>
    <w:rsid w:val="00E27E98"/>
    <w:rsid w:val="00E27FAA"/>
    <w:rsid w:val="00E31224"/>
    <w:rsid w:val="00E326DA"/>
    <w:rsid w:val="00E32CF6"/>
    <w:rsid w:val="00E34E24"/>
    <w:rsid w:val="00E36942"/>
    <w:rsid w:val="00E37A76"/>
    <w:rsid w:val="00E41179"/>
    <w:rsid w:val="00E41655"/>
    <w:rsid w:val="00E4173D"/>
    <w:rsid w:val="00E423B0"/>
    <w:rsid w:val="00E42694"/>
    <w:rsid w:val="00E427BE"/>
    <w:rsid w:val="00E44A37"/>
    <w:rsid w:val="00E45C45"/>
    <w:rsid w:val="00E47BF7"/>
    <w:rsid w:val="00E47D39"/>
    <w:rsid w:val="00E54504"/>
    <w:rsid w:val="00E54D55"/>
    <w:rsid w:val="00E5626A"/>
    <w:rsid w:val="00E568E4"/>
    <w:rsid w:val="00E57330"/>
    <w:rsid w:val="00E60281"/>
    <w:rsid w:val="00E634F0"/>
    <w:rsid w:val="00E64A19"/>
    <w:rsid w:val="00E6671B"/>
    <w:rsid w:val="00E67696"/>
    <w:rsid w:val="00E67F2B"/>
    <w:rsid w:val="00E712BE"/>
    <w:rsid w:val="00E72510"/>
    <w:rsid w:val="00E80741"/>
    <w:rsid w:val="00E823B9"/>
    <w:rsid w:val="00E82BFC"/>
    <w:rsid w:val="00E85B91"/>
    <w:rsid w:val="00E85C77"/>
    <w:rsid w:val="00E865C5"/>
    <w:rsid w:val="00E8715B"/>
    <w:rsid w:val="00E9092D"/>
    <w:rsid w:val="00E90CAD"/>
    <w:rsid w:val="00E91D8A"/>
    <w:rsid w:val="00E9239E"/>
    <w:rsid w:val="00E92B1A"/>
    <w:rsid w:val="00E9584A"/>
    <w:rsid w:val="00E959D1"/>
    <w:rsid w:val="00E975C6"/>
    <w:rsid w:val="00EA0CBA"/>
    <w:rsid w:val="00EA2998"/>
    <w:rsid w:val="00EA2F05"/>
    <w:rsid w:val="00EA3593"/>
    <w:rsid w:val="00EA3E5E"/>
    <w:rsid w:val="00EA4BB7"/>
    <w:rsid w:val="00EA4E25"/>
    <w:rsid w:val="00EA60E5"/>
    <w:rsid w:val="00EA618E"/>
    <w:rsid w:val="00EB17AE"/>
    <w:rsid w:val="00EB2230"/>
    <w:rsid w:val="00EB282E"/>
    <w:rsid w:val="00EB3777"/>
    <w:rsid w:val="00EB4870"/>
    <w:rsid w:val="00EB4D32"/>
    <w:rsid w:val="00EB5106"/>
    <w:rsid w:val="00EC0549"/>
    <w:rsid w:val="00EC11FA"/>
    <w:rsid w:val="00EC165B"/>
    <w:rsid w:val="00EC459C"/>
    <w:rsid w:val="00EC5536"/>
    <w:rsid w:val="00EC5EFE"/>
    <w:rsid w:val="00ED05AA"/>
    <w:rsid w:val="00ED404C"/>
    <w:rsid w:val="00ED40BB"/>
    <w:rsid w:val="00ED68E6"/>
    <w:rsid w:val="00ED79A1"/>
    <w:rsid w:val="00EE06CC"/>
    <w:rsid w:val="00EE0F69"/>
    <w:rsid w:val="00EE1E63"/>
    <w:rsid w:val="00EE286B"/>
    <w:rsid w:val="00EE2EEC"/>
    <w:rsid w:val="00EE3F48"/>
    <w:rsid w:val="00EE56CB"/>
    <w:rsid w:val="00EF07CA"/>
    <w:rsid w:val="00EF0E23"/>
    <w:rsid w:val="00EF2B7C"/>
    <w:rsid w:val="00EF38C3"/>
    <w:rsid w:val="00EF3FA9"/>
    <w:rsid w:val="00EF41E0"/>
    <w:rsid w:val="00EF5625"/>
    <w:rsid w:val="00EF68C3"/>
    <w:rsid w:val="00F005F2"/>
    <w:rsid w:val="00F021AC"/>
    <w:rsid w:val="00F02D0D"/>
    <w:rsid w:val="00F03660"/>
    <w:rsid w:val="00F037D7"/>
    <w:rsid w:val="00F055B4"/>
    <w:rsid w:val="00F06480"/>
    <w:rsid w:val="00F06782"/>
    <w:rsid w:val="00F13B1B"/>
    <w:rsid w:val="00F140E8"/>
    <w:rsid w:val="00F14B6E"/>
    <w:rsid w:val="00F215E9"/>
    <w:rsid w:val="00F23240"/>
    <w:rsid w:val="00F2339E"/>
    <w:rsid w:val="00F2379F"/>
    <w:rsid w:val="00F245C0"/>
    <w:rsid w:val="00F25B89"/>
    <w:rsid w:val="00F260D8"/>
    <w:rsid w:val="00F26617"/>
    <w:rsid w:val="00F3140F"/>
    <w:rsid w:val="00F32752"/>
    <w:rsid w:val="00F33957"/>
    <w:rsid w:val="00F3562E"/>
    <w:rsid w:val="00F35772"/>
    <w:rsid w:val="00F35EBE"/>
    <w:rsid w:val="00F3788F"/>
    <w:rsid w:val="00F417D7"/>
    <w:rsid w:val="00F42781"/>
    <w:rsid w:val="00F45337"/>
    <w:rsid w:val="00F47593"/>
    <w:rsid w:val="00F4781B"/>
    <w:rsid w:val="00F51C5F"/>
    <w:rsid w:val="00F53ACD"/>
    <w:rsid w:val="00F547A5"/>
    <w:rsid w:val="00F547D5"/>
    <w:rsid w:val="00F54A1A"/>
    <w:rsid w:val="00F55FA1"/>
    <w:rsid w:val="00F57229"/>
    <w:rsid w:val="00F6354E"/>
    <w:rsid w:val="00F63E60"/>
    <w:rsid w:val="00F64265"/>
    <w:rsid w:val="00F64A80"/>
    <w:rsid w:val="00F64FDF"/>
    <w:rsid w:val="00F65D20"/>
    <w:rsid w:val="00F66FCB"/>
    <w:rsid w:val="00F70B12"/>
    <w:rsid w:val="00F70BC1"/>
    <w:rsid w:val="00F739A4"/>
    <w:rsid w:val="00F73B87"/>
    <w:rsid w:val="00F763AD"/>
    <w:rsid w:val="00F779D4"/>
    <w:rsid w:val="00F80D50"/>
    <w:rsid w:val="00F8256B"/>
    <w:rsid w:val="00F8460B"/>
    <w:rsid w:val="00F8754D"/>
    <w:rsid w:val="00F908FC"/>
    <w:rsid w:val="00F90DB8"/>
    <w:rsid w:val="00F91271"/>
    <w:rsid w:val="00F915A6"/>
    <w:rsid w:val="00F936BD"/>
    <w:rsid w:val="00F93FFB"/>
    <w:rsid w:val="00F9486E"/>
    <w:rsid w:val="00F955B4"/>
    <w:rsid w:val="00FA0D17"/>
    <w:rsid w:val="00FA17FF"/>
    <w:rsid w:val="00FA22AB"/>
    <w:rsid w:val="00FA322F"/>
    <w:rsid w:val="00FA3415"/>
    <w:rsid w:val="00FA6F02"/>
    <w:rsid w:val="00FA78E4"/>
    <w:rsid w:val="00FB229F"/>
    <w:rsid w:val="00FB2CBE"/>
    <w:rsid w:val="00FB49C2"/>
    <w:rsid w:val="00FB4DA2"/>
    <w:rsid w:val="00FB5596"/>
    <w:rsid w:val="00FC0B33"/>
    <w:rsid w:val="00FC392F"/>
    <w:rsid w:val="00FC3AF1"/>
    <w:rsid w:val="00FC4983"/>
    <w:rsid w:val="00FC5746"/>
    <w:rsid w:val="00FC57A3"/>
    <w:rsid w:val="00FC59B4"/>
    <w:rsid w:val="00FD17F9"/>
    <w:rsid w:val="00FD4456"/>
    <w:rsid w:val="00FD5310"/>
    <w:rsid w:val="00FD66AE"/>
    <w:rsid w:val="00FD73D1"/>
    <w:rsid w:val="00FD79A7"/>
    <w:rsid w:val="00FD7FFE"/>
    <w:rsid w:val="00FE1BC5"/>
    <w:rsid w:val="00FE2437"/>
    <w:rsid w:val="00FE3D8C"/>
    <w:rsid w:val="00FE4BEC"/>
    <w:rsid w:val="00FE60AE"/>
    <w:rsid w:val="00FE6BE0"/>
    <w:rsid w:val="00FE6E4A"/>
    <w:rsid w:val="00FF0869"/>
    <w:rsid w:val="00FF102D"/>
    <w:rsid w:val="00FF1BB0"/>
    <w:rsid w:val="00FF2727"/>
    <w:rsid w:val="00FF46F3"/>
    <w:rsid w:val="00FF58DB"/>
    <w:rsid w:val="00FF6AD4"/>
    <w:rsid w:val="08AB3F16"/>
    <w:rsid w:val="0EBC6D1B"/>
    <w:rsid w:val="115A6DE7"/>
    <w:rsid w:val="130A06F6"/>
    <w:rsid w:val="16F507F3"/>
    <w:rsid w:val="17F511A8"/>
    <w:rsid w:val="1B9C0ACC"/>
    <w:rsid w:val="20F97BFC"/>
    <w:rsid w:val="25A56ADA"/>
    <w:rsid w:val="270F426C"/>
    <w:rsid w:val="29221E8F"/>
    <w:rsid w:val="2B553CE9"/>
    <w:rsid w:val="2B850B3E"/>
    <w:rsid w:val="2D1D77DB"/>
    <w:rsid w:val="2E502634"/>
    <w:rsid w:val="2ED27F0A"/>
    <w:rsid w:val="2F392DDC"/>
    <w:rsid w:val="309716D6"/>
    <w:rsid w:val="37DA1D09"/>
    <w:rsid w:val="38A806A6"/>
    <w:rsid w:val="3A641A87"/>
    <w:rsid w:val="3B960C76"/>
    <w:rsid w:val="3CF26089"/>
    <w:rsid w:val="3FFD44DD"/>
    <w:rsid w:val="42A51BD9"/>
    <w:rsid w:val="477359DF"/>
    <w:rsid w:val="48C73B0F"/>
    <w:rsid w:val="4A000FD8"/>
    <w:rsid w:val="4DAE4B99"/>
    <w:rsid w:val="4F7E2CCF"/>
    <w:rsid w:val="4FC67EFF"/>
    <w:rsid w:val="50FF04C2"/>
    <w:rsid w:val="53D80AD6"/>
    <w:rsid w:val="56D3095F"/>
    <w:rsid w:val="58CA3BED"/>
    <w:rsid w:val="58E95276"/>
    <w:rsid w:val="5CB83E84"/>
    <w:rsid w:val="61B74C63"/>
    <w:rsid w:val="62B40239"/>
    <w:rsid w:val="62CD0088"/>
    <w:rsid w:val="64D9368F"/>
    <w:rsid w:val="652E6F43"/>
    <w:rsid w:val="66E77BD5"/>
    <w:rsid w:val="6BA87C53"/>
    <w:rsid w:val="6BEB7E69"/>
    <w:rsid w:val="6E3A0412"/>
    <w:rsid w:val="6E5E1112"/>
    <w:rsid w:val="6EEE2467"/>
    <w:rsid w:val="6F9874A7"/>
    <w:rsid w:val="701E1263"/>
    <w:rsid w:val="7488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link w:val="31"/>
    <w:semiHidden/>
    <w:unhideWhenUsed/>
    <w:qFormat/>
    <w:uiPriority w:val="0"/>
    <w:rPr>
      <w:rFonts w:ascii="宋体" w:hAnsiTheme="minorHAnsi" w:cstheme="minorBidi"/>
      <w:sz w:val="18"/>
      <w:szCs w:val="18"/>
    </w:rPr>
  </w:style>
  <w:style w:type="paragraph" w:styleId="6">
    <w:name w:val="annotation text"/>
    <w:basedOn w:val="1"/>
    <w:link w:val="20"/>
    <w:qFormat/>
    <w:uiPriority w:val="0"/>
    <w:pPr>
      <w:jc w:val="left"/>
    </w:pPr>
    <w:rPr>
      <w:szCs w:val="20"/>
    </w:rPr>
  </w:style>
  <w:style w:type="paragraph" w:styleId="7">
    <w:name w:val="Body Text Indent"/>
    <w:basedOn w:val="1"/>
    <w:link w:val="32"/>
    <w:qFormat/>
    <w:uiPriority w:val="0"/>
    <w:pPr>
      <w:adjustRightInd w:val="0"/>
      <w:spacing w:line="360" w:lineRule="auto"/>
      <w:ind w:right="-694" w:firstLine="525" w:firstLineChars="200"/>
      <w:textAlignment w:val="baseline"/>
    </w:pPr>
    <w:rPr>
      <w:rFonts w:ascii="Calibri" w:hAnsi="Calibri"/>
      <w:szCs w:val="20"/>
    </w:rPr>
  </w:style>
  <w:style w:type="paragraph" w:styleId="8">
    <w:name w:val="Balloon Text"/>
    <w:basedOn w:val="1"/>
    <w:link w:val="21"/>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annotation subject"/>
    <w:basedOn w:val="6"/>
    <w:next w:val="6"/>
    <w:link w:val="24"/>
    <w:semiHidden/>
    <w:unhideWhenUsed/>
    <w:qFormat/>
    <w:uiPriority w:val="0"/>
    <w:rPr>
      <w:b/>
      <w:bCs/>
      <w:szCs w:val="24"/>
    </w:rPr>
  </w:style>
  <w:style w:type="character" w:styleId="15">
    <w:name w:val="Strong"/>
    <w:basedOn w:val="14"/>
    <w:qFormat/>
    <w:uiPriority w:val="22"/>
    <w:rPr>
      <w:b/>
      <w:bCs/>
    </w:rPr>
  </w:style>
  <w:style w:type="character" w:styleId="16">
    <w:name w:val="Emphasis"/>
    <w:basedOn w:val="14"/>
    <w:qFormat/>
    <w:uiPriority w:val="20"/>
    <w:rPr>
      <w:color w:val="CC0000"/>
    </w:rPr>
  </w:style>
  <w:style w:type="character" w:styleId="17">
    <w:name w:val="annotation reference"/>
    <w:basedOn w:val="14"/>
    <w:semiHidden/>
    <w:unhideWhenUsed/>
    <w:qFormat/>
    <w:uiPriority w:val="0"/>
    <w:rPr>
      <w:sz w:val="21"/>
      <w:szCs w:val="21"/>
    </w:rPr>
  </w:style>
  <w:style w:type="character" w:customStyle="1" w:styleId="18">
    <w:name w:val="标题 1 字符"/>
    <w:basedOn w:val="14"/>
    <w:link w:val="2"/>
    <w:qFormat/>
    <w:uiPriority w:val="0"/>
    <w:rPr>
      <w:rFonts w:asciiTheme="minorHAnsi" w:hAnsiTheme="minorHAnsi" w:eastAsiaTheme="minorEastAsia" w:cstheme="minorBidi"/>
      <w:b/>
      <w:bCs/>
      <w:kern w:val="44"/>
      <w:sz w:val="44"/>
      <w:szCs w:val="44"/>
    </w:rPr>
  </w:style>
  <w:style w:type="character" w:customStyle="1" w:styleId="19">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0">
    <w:name w:val="批注文字 字符"/>
    <w:basedOn w:val="14"/>
    <w:link w:val="6"/>
    <w:qFormat/>
    <w:uiPriority w:val="0"/>
    <w:rPr>
      <w:kern w:val="2"/>
      <w:sz w:val="21"/>
    </w:rPr>
  </w:style>
  <w:style w:type="character" w:customStyle="1" w:styleId="21">
    <w:name w:val="批注框文本 字符"/>
    <w:basedOn w:val="14"/>
    <w:link w:val="8"/>
    <w:qFormat/>
    <w:uiPriority w:val="99"/>
    <w:rPr>
      <w:kern w:val="2"/>
      <w:sz w:val="18"/>
      <w:szCs w:val="18"/>
    </w:rPr>
  </w:style>
  <w:style w:type="character" w:customStyle="1" w:styleId="22">
    <w:name w:val="页脚 字符"/>
    <w:basedOn w:val="14"/>
    <w:link w:val="9"/>
    <w:qFormat/>
    <w:uiPriority w:val="99"/>
    <w:rPr>
      <w:rFonts w:ascii="Times New Roman" w:hAnsi="Times New Roman" w:eastAsia="宋体" w:cs="Times New Roman"/>
      <w:sz w:val="18"/>
      <w:szCs w:val="18"/>
    </w:rPr>
  </w:style>
  <w:style w:type="character" w:customStyle="1" w:styleId="23">
    <w:name w:val="页眉 字符"/>
    <w:basedOn w:val="14"/>
    <w:link w:val="10"/>
    <w:qFormat/>
    <w:uiPriority w:val="99"/>
    <w:rPr>
      <w:rFonts w:ascii="Times New Roman" w:hAnsi="Times New Roman" w:eastAsia="宋体" w:cs="Times New Roman"/>
      <w:sz w:val="18"/>
      <w:szCs w:val="18"/>
    </w:rPr>
  </w:style>
  <w:style w:type="character" w:customStyle="1" w:styleId="24">
    <w:name w:val="批注主题 字符"/>
    <w:basedOn w:val="20"/>
    <w:link w:val="12"/>
    <w:semiHidden/>
    <w:qFormat/>
    <w:uiPriority w:val="0"/>
    <w:rPr>
      <w:b/>
      <w:bCs/>
      <w:kern w:val="2"/>
      <w:sz w:val="21"/>
      <w:szCs w:val="24"/>
    </w:rPr>
  </w:style>
  <w:style w:type="character" w:customStyle="1" w:styleId="25">
    <w:name w:val="标题2 Char"/>
    <w:link w:val="26"/>
    <w:qFormat/>
    <w:uiPriority w:val="0"/>
    <w:rPr>
      <w:rFonts w:ascii="Cambria" w:hAnsi="Cambria" w:eastAsia="楷体"/>
      <w:b/>
      <w:bCs/>
      <w:sz w:val="30"/>
      <w:szCs w:val="32"/>
    </w:rPr>
  </w:style>
  <w:style w:type="paragraph" w:customStyle="1" w:styleId="26">
    <w:name w:val="标题2"/>
    <w:basedOn w:val="3"/>
    <w:link w:val="25"/>
    <w:qFormat/>
    <w:uiPriority w:val="0"/>
    <w:pPr>
      <w:spacing w:beforeLines="50" w:afterLines="50" w:line="240" w:lineRule="auto"/>
      <w:ind w:firstLine="100" w:firstLineChars="100"/>
    </w:pPr>
    <w:rPr>
      <w:rFonts w:ascii="Cambria" w:hAnsi="Cambria" w:eastAsia="楷体" w:cstheme="minorBidi"/>
      <w:sz w:val="30"/>
    </w:rPr>
  </w:style>
  <w:style w:type="paragraph" w:styleId="27">
    <w:name w:val="List Paragraph"/>
    <w:basedOn w:val="1"/>
    <w:qFormat/>
    <w:uiPriority w:val="34"/>
    <w:pPr>
      <w:ind w:firstLine="420" w:firstLineChars="200"/>
    </w:pPr>
    <w:rPr>
      <w:szCs w:val="20"/>
    </w:rPr>
  </w:style>
  <w:style w:type="paragraph" w:customStyle="1" w:styleId="28">
    <w:name w:val="Char1"/>
    <w:basedOn w:val="1"/>
    <w:qFormat/>
    <w:uiPriority w:val="0"/>
    <w:pPr>
      <w:spacing w:beforeLines="50" w:afterLines="50" w:line="400" w:lineRule="exact"/>
      <w:ind w:firstLine="200" w:firstLineChars="200"/>
    </w:pPr>
    <w:rPr>
      <w:szCs w:val="20"/>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标题 3 字符"/>
    <w:basedOn w:val="14"/>
    <w:link w:val="4"/>
    <w:semiHidden/>
    <w:qFormat/>
    <w:uiPriority w:val="0"/>
    <w:rPr>
      <w:rFonts w:asciiTheme="minorHAnsi" w:hAnsiTheme="minorHAnsi" w:eastAsiaTheme="minorEastAsia" w:cstheme="minorBidi"/>
      <w:b/>
      <w:bCs/>
      <w:kern w:val="2"/>
      <w:sz w:val="32"/>
      <w:szCs w:val="32"/>
    </w:rPr>
  </w:style>
  <w:style w:type="character" w:customStyle="1" w:styleId="31">
    <w:name w:val="文档结构图 字符"/>
    <w:basedOn w:val="14"/>
    <w:link w:val="5"/>
    <w:semiHidden/>
    <w:qFormat/>
    <w:uiPriority w:val="0"/>
    <w:rPr>
      <w:rFonts w:ascii="宋体" w:hAnsiTheme="minorHAnsi" w:cstheme="minorBidi"/>
      <w:kern w:val="2"/>
      <w:sz w:val="18"/>
      <w:szCs w:val="18"/>
    </w:rPr>
  </w:style>
  <w:style w:type="character" w:customStyle="1" w:styleId="32">
    <w:name w:val="正文文本缩进 字符"/>
    <w:basedOn w:val="14"/>
    <w:link w:val="7"/>
    <w:qFormat/>
    <w:uiPriority w:val="0"/>
    <w:rPr>
      <w:rFonts w:ascii="Calibri" w:hAnsi="Calibri"/>
      <w:kern w:val="2"/>
      <w:sz w:val="21"/>
    </w:rPr>
  </w:style>
  <w:style w:type="character" w:customStyle="1" w:styleId="33">
    <w:name w:val="HTML 预设格式 字符"/>
    <w:basedOn w:val="14"/>
    <w:link w:val="11"/>
    <w:semiHidden/>
    <w:qFormat/>
    <w:uiPriority w:val="99"/>
    <w:rPr>
      <w:rFonts w:ascii="宋体" w:hAnsi="宋体" w:cs="宋体"/>
      <w:sz w:val="24"/>
      <w:szCs w:val="24"/>
    </w:rPr>
  </w:style>
  <w:style w:type="character" w:styleId="34">
    <w:name w:val="Placeholder Text"/>
    <w:basedOn w:val="14"/>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72CF7-4FF4-4F1F-9BDF-1F8D97FC181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29</Pages>
  <Words>2151</Words>
  <Characters>12261</Characters>
  <Lines>102</Lines>
  <Paragraphs>28</Paragraphs>
  <TotalTime>0</TotalTime>
  <ScaleCrop>false</ScaleCrop>
  <LinksUpToDate>false</LinksUpToDate>
  <CharactersWithSpaces>14384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2021-07-26T09:43:00Z</dcterms:created>
  <dc:creator>gaoay</dc:creator>
  <cp:lastModifiedBy>      蕾拉</cp:lastModifiedBy>
  <cp:lastPrinted>2019-07-10T13:27:00Z</cp:lastPrinted>
  <dcterms:modified xsi:type="dcterms:W3CDTF">2021-08-04T10:05:22Z</dcterms:modified>
  <dc:title>部科学研究院</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C7696B35FFCA4C288AC89DCA26E8B0E0</vt:lpwstr>
  </property>
</Properties>
</file>